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970CBF0" w14:textId="77777777" w:rsidR="004A0975" w:rsidRDefault="004A0975">
      <w:pPr>
        <w:spacing w:line="360" w:lineRule="auto"/>
        <w:jc w:val="center"/>
        <w:rPr>
          <w:rFonts w:eastAsia="黑体"/>
          <w:b/>
          <w:sz w:val="36"/>
          <w:szCs w:val="36"/>
        </w:rPr>
      </w:pPr>
    </w:p>
    <w:p w14:paraId="19D83BD8" w14:textId="77777777" w:rsidR="004A0975" w:rsidRDefault="004A0975">
      <w:pPr>
        <w:spacing w:line="360" w:lineRule="auto"/>
        <w:jc w:val="center"/>
        <w:rPr>
          <w:rFonts w:eastAsia="黑体"/>
          <w:b/>
          <w:sz w:val="36"/>
          <w:szCs w:val="36"/>
        </w:rPr>
      </w:pPr>
    </w:p>
    <w:p w14:paraId="5FBA5856" w14:textId="77777777" w:rsidR="004A0975" w:rsidRDefault="004A0975">
      <w:pPr>
        <w:spacing w:line="360" w:lineRule="auto"/>
        <w:jc w:val="center"/>
        <w:rPr>
          <w:rFonts w:eastAsia="黑体"/>
          <w:b/>
          <w:sz w:val="36"/>
          <w:szCs w:val="36"/>
        </w:rPr>
      </w:pPr>
    </w:p>
    <w:p w14:paraId="7C3018D5" w14:textId="77777777" w:rsidR="004A0975" w:rsidRDefault="00000000">
      <w:pPr>
        <w:adjustRightInd w:val="0"/>
        <w:spacing w:line="360" w:lineRule="auto"/>
        <w:jc w:val="center"/>
        <w:textAlignment w:val="baseline"/>
        <w:rPr>
          <w:rFonts w:eastAsia="仿宋_GB2312"/>
          <w:b/>
          <w:spacing w:val="-14"/>
          <w:kern w:val="0"/>
          <w:sz w:val="36"/>
          <w:szCs w:val="36"/>
        </w:rPr>
      </w:pPr>
      <w:r>
        <w:rPr>
          <w:rFonts w:eastAsia="仿宋_GB2312"/>
          <w:b/>
          <w:spacing w:val="-14"/>
          <w:kern w:val="0"/>
          <w:sz w:val="36"/>
          <w:szCs w:val="36"/>
        </w:rPr>
        <w:t>《</w:t>
      </w:r>
      <w:r>
        <w:rPr>
          <w:rFonts w:eastAsia="仿宋_GB2312" w:hint="eastAsia"/>
          <w:b/>
          <w:spacing w:val="-14"/>
          <w:kern w:val="0"/>
          <w:sz w:val="36"/>
          <w:szCs w:val="36"/>
        </w:rPr>
        <w:t>可生物降解</w:t>
      </w:r>
      <w:r>
        <w:rPr>
          <w:rFonts w:hint="eastAsia"/>
          <w:b/>
          <w:color w:val="000000"/>
          <w:sz w:val="36"/>
          <w:szCs w:val="36"/>
        </w:rPr>
        <w:t>型液压支架用浓缩液技术条件</w:t>
      </w:r>
      <w:r>
        <w:rPr>
          <w:rFonts w:eastAsia="仿宋_GB2312"/>
          <w:b/>
          <w:spacing w:val="-14"/>
          <w:kern w:val="0"/>
          <w:sz w:val="36"/>
          <w:szCs w:val="36"/>
        </w:rPr>
        <w:t>》</w:t>
      </w:r>
    </w:p>
    <w:p w14:paraId="59F30EB9" w14:textId="77777777" w:rsidR="004A0975" w:rsidRDefault="004A0975">
      <w:pPr>
        <w:adjustRightInd w:val="0"/>
        <w:spacing w:line="360" w:lineRule="auto"/>
        <w:jc w:val="center"/>
        <w:textAlignment w:val="baseline"/>
        <w:rPr>
          <w:rFonts w:eastAsia="仿宋_GB2312"/>
          <w:b/>
          <w:spacing w:val="-14"/>
          <w:kern w:val="0"/>
          <w:sz w:val="52"/>
          <w:szCs w:val="52"/>
        </w:rPr>
      </w:pPr>
    </w:p>
    <w:p w14:paraId="370B19F3" w14:textId="77777777" w:rsidR="004A0975" w:rsidRDefault="004A0975">
      <w:pPr>
        <w:adjustRightInd w:val="0"/>
        <w:spacing w:line="360" w:lineRule="auto"/>
        <w:jc w:val="center"/>
        <w:textAlignment w:val="baseline"/>
        <w:rPr>
          <w:rFonts w:eastAsia="仿宋_GB2312"/>
          <w:b/>
          <w:spacing w:val="-14"/>
          <w:kern w:val="0"/>
          <w:sz w:val="52"/>
          <w:szCs w:val="52"/>
        </w:rPr>
      </w:pPr>
    </w:p>
    <w:p w14:paraId="105CB685" w14:textId="77777777" w:rsidR="004A0975" w:rsidRDefault="00000000">
      <w:pPr>
        <w:adjustRightInd w:val="0"/>
        <w:spacing w:line="360" w:lineRule="auto"/>
        <w:jc w:val="center"/>
        <w:textAlignment w:val="baseline"/>
        <w:rPr>
          <w:rFonts w:eastAsia="仿宋_GB2312"/>
          <w:b/>
          <w:spacing w:val="-14"/>
          <w:kern w:val="0"/>
          <w:sz w:val="52"/>
          <w:szCs w:val="52"/>
        </w:rPr>
      </w:pPr>
      <w:r>
        <w:rPr>
          <w:rFonts w:eastAsia="仿宋_GB2312" w:hint="eastAsia"/>
          <w:b/>
          <w:spacing w:val="-14"/>
          <w:kern w:val="0"/>
          <w:sz w:val="52"/>
          <w:szCs w:val="52"/>
        </w:rPr>
        <w:t>编</w:t>
      </w:r>
      <w:r>
        <w:rPr>
          <w:rFonts w:eastAsia="仿宋_GB2312" w:hint="eastAsia"/>
          <w:b/>
          <w:spacing w:val="-14"/>
          <w:kern w:val="0"/>
          <w:sz w:val="52"/>
          <w:szCs w:val="52"/>
        </w:rPr>
        <w:t xml:space="preserve"> </w:t>
      </w:r>
      <w:r>
        <w:rPr>
          <w:rFonts w:eastAsia="仿宋_GB2312" w:hint="eastAsia"/>
          <w:b/>
          <w:spacing w:val="-14"/>
          <w:kern w:val="0"/>
          <w:sz w:val="52"/>
          <w:szCs w:val="52"/>
        </w:rPr>
        <w:t>制</w:t>
      </w:r>
      <w:r>
        <w:rPr>
          <w:rFonts w:eastAsia="仿宋_GB2312" w:hint="eastAsia"/>
          <w:b/>
          <w:spacing w:val="-14"/>
          <w:kern w:val="0"/>
          <w:sz w:val="52"/>
          <w:szCs w:val="52"/>
        </w:rPr>
        <w:t xml:space="preserve"> </w:t>
      </w:r>
      <w:r>
        <w:rPr>
          <w:rFonts w:eastAsia="仿宋_GB2312"/>
          <w:b/>
          <w:spacing w:val="-14"/>
          <w:kern w:val="0"/>
          <w:sz w:val="52"/>
          <w:szCs w:val="52"/>
        </w:rPr>
        <w:t>说</w:t>
      </w:r>
      <w:r>
        <w:rPr>
          <w:rFonts w:eastAsia="仿宋_GB2312" w:hint="eastAsia"/>
          <w:b/>
          <w:spacing w:val="-14"/>
          <w:kern w:val="0"/>
          <w:sz w:val="52"/>
          <w:szCs w:val="52"/>
        </w:rPr>
        <w:t xml:space="preserve"> </w:t>
      </w:r>
      <w:r>
        <w:rPr>
          <w:rFonts w:eastAsia="仿宋_GB2312"/>
          <w:b/>
          <w:spacing w:val="-14"/>
          <w:kern w:val="0"/>
          <w:sz w:val="52"/>
          <w:szCs w:val="52"/>
        </w:rPr>
        <w:t>明</w:t>
      </w:r>
    </w:p>
    <w:p w14:paraId="7C1E5878" w14:textId="77777777" w:rsidR="004A0975" w:rsidRDefault="004A0975">
      <w:pPr>
        <w:spacing w:line="360" w:lineRule="auto"/>
        <w:jc w:val="center"/>
        <w:rPr>
          <w:rFonts w:eastAsia="黑体"/>
          <w:b/>
          <w:sz w:val="30"/>
          <w:szCs w:val="30"/>
        </w:rPr>
      </w:pPr>
    </w:p>
    <w:p w14:paraId="4686D5E1" w14:textId="77777777" w:rsidR="004A0975" w:rsidRDefault="004A0975">
      <w:pPr>
        <w:spacing w:line="360" w:lineRule="auto"/>
        <w:rPr>
          <w:rFonts w:eastAsia="黑体"/>
          <w:b/>
          <w:sz w:val="30"/>
          <w:szCs w:val="30"/>
        </w:rPr>
      </w:pPr>
    </w:p>
    <w:p w14:paraId="2C1596CD" w14:textId="77777777" w:rsidR="004A0975" w:rsidRDefault="004A0975">
      <w:pPr>
        <w:spacing w:line="360" w:lineRule="auto"/>
        <w:rPr>
          <w:rFonts w:eastAsia="黑体"/>
          <w:b/>
          <w:sz w:val="30"/>
          <w:szCs w:val="30"/>
        </w:rPr>
      </w:pPr>
    </w:p>
    <w:p w14:paraId="5C6C171F" w14:textId="77777777" w:rsidR="004A0975" w:rsidRDefault="004A0975">
      <w:pPr>
        <w:spacing w:line="360" w:lineRule="auto"/>
        <w:rPr>
          <w:rFonts w:eastAsia="黑体"/>
          <w:b/>
          <w:sz w:val="30"/>
          <w:szCs w:val="30"/>
        </w:rPr>
      </w:pPr>
    </w:p>
    <w:p w14:paraId="5C1D71A4" w14:textId="77777777" w:rsidR="004A0975" w:rsidRDefault="004A0975">
      <w:pPr>
        <w:spacing w:line="360" w:lineRule="auto"/>
        <w:rPr>
          <w:rFonts w:eastAsia="黑体"/>
          <w:b/>
          <w:sz w:val="30"/>
          <w:szCs w:val="30"/>
        </w:rPr>
      </w:pPr>
    </w:p>
    <w:p w14:paraId="1A59E508" w14:textId="77777777" w:rsidR="004A0975" w:rsidRDefault="004A0975">
      <w:pPr>
        <w:spacing w:line="360" w:lineRule="auto"/>
        <w:rPr>
          <w:rFonts w:eastAsia="黑体"/>
          <w:b/>
          <w:sz w:val="30"/>
          <w:szCs w:val="30"/>
        </w:rPr>
      </w:pPr>
    </w:p>
    <w:p w14:paraId="2A2CF8A9" w14:textId="77777777" w:rsidR="004A0975" w:rsidRDefault="004A0975">
      <w:pPr>
        <w:spacing w:line="360" w:lineRule="auto"/>
        <w:rPr>
          <w:rFonts w:eastAsia="黑体"/>
          <w:b/>
          <w:sz w:val="30"/>
          <w:szCs w:val="30"/>
        </w:rPr>
      </w:pPr>
    </w:p>
    <w:p w14:paraId="5039CC88" w14:textId="77777777" w:rsidR="004A0975" w:rsidRDefault="004A0975">
      <w:pPr>
        <w:spacing w:line="360" w:lineRule="auto"/>
        <w:rPr>
          <w:rFonts w:eastAsia="黑体"/>
          <w:b/>
          <w:sz w:val="30"/>
          <w:szCs w:val="30"/>
        </w:rPr>
      </w:pPr>
    </w:p>
    <w:p w14:paraId="2F198818" w14:textId="77777777" w:rsidR="004A0975" w:rsidRDefault="00000000">
      <w:pPr>
        <w:spacing w:line="360" w:lineRule="auto"/>
        <w:jc w:val="center"/>
        <w:rPr>
          <w:rFonts w:eastAsia="黑体"/>
          <w:b/>
          <w:sz w:val="32"/>
          <w:szCs w:val="32"/>
        </w:rPr>
      </w:pPr>
      <w:r>
        <w:rPr>
          <w:rFonts w:eastAsia="黑体" w:hint="eastAsia"/>
          <w:b/>
          <w:sz w:val="32"/>
          <w:szCs w:val="32"/>
        </w:rPr>
        <w:t>煤科（北京）新材料科技有限公司</w:t>
      </w:r>
    </w:p>
    <w:p w14:paraId="37AEE408" w14:textId="77777777" w:rsidR="004A0975" w:rsidRDefault="00000000">
      <w:pPr>
        <w:spacing w:line="360" w:lineRule="auto"/>
        <w:jc w:val="center"/>
        <w:rPr>
          <w:rFonts w:eastAsia="黑体"/>
          <w:b/>
          <w:sz w:val="32"/>
          <w:szCs w:val="32"/>
        </w:rPr>
      </w:pPr>
      <w:r>
        <w:rPr>
          <w:rFonts w:eastAsia="黑体" w:hint="eastAsia"/>
          <w:b/>
          <w:sz w:val="32"/>
          <w:szCs w:val="32"/>
        </w:rPr>
        <w:t>（煤炭科学技术研究院有限公司矿用材料分院）</w:t>
      </w:r>
    </w:p>
    <w:p w14:paraId="3B0BBC30" w14:textId="77777777" w:rsidR="004A0975" w:rsidRDefault="00000000">
      <w:pPr>
        <w:spacing w:line="600" w:lineRule="exact"/>
        <w:jc w:val="center"/>
        <w:rPr>
          <w:rFonts w:eastAsia="仿宋_GB2312"/>
          <w:b/>
          <w:sz w:val="32"/>
          <w:szCs w:val="32"/>
        </w:rPr>
      </w:pPr>
      <w:r>
        <w:rPr>
          <w:rFonts w:eastAsia="仿宋_GB2312"/>
          <w:b/>
          <w:sz w:val="32"/>
          <w:szCs w:val="32"/>
        </w:rPr>
        <w:t>20</w:t>
      </w:r>
      <w:r>
        <w:rPr>
          <w:rFonts w:eastAsia="仿宋_GB2312" w:hint="eastAsia"/>
          <w:b/>
          <w:sz w:val="32"/>
          <w:szCs w:val="32"/>
        </w:rPr>
        <w:t>24</w:t>
      </w:r>
      <w:r>
        <w:rPr>
          <w:rFonts w:eastAsia="仿宋_GB2312"/>
          <w:b/>
          <w:sz w:val="32"/>
          <w:szCs w:val="32"/>
        </w:rPr>
        <w:t>年</w:t>
      </w:r>
      <w:r>
        <w:rPr>
          <w:rFonts w:eastAsia="仿宋_GB2312" w:hint="eastAsia"/>
          <w:b/>
          <w:sz w:val="32"/>
          <w:szCs w:val="32"/>
        </w:rPr>
        <w:t>07</w:t>
      </w:r>
      <w:r>
        <w:rPr>
          <w:rFonts w:eastAsia="仿宋_GB2312"/>
          <w:b/>
          <w:sz w:val="32"/>
          <w:szCs w:val="32"/>
        </w:rPr>
        <w:t>月</w:t>
      </w:r>
    </w:p>
    <w:p w14:paraId="147205DB" w14:textId="77777777" w:rsidR="004A0975" w:rsidRDefault="00000000">
      <w:pPr>
        <w:spacing w:line="360" w:lineRule="auto"/>
        <w:jc w:val="center"/>
        <w:rPr>
          <w:rFonts w:eastAsia="仿宋_GB2312"/>
          <w:b/>
          <w:spacing w:val="-14"/>
          <w:kern w:val="0"/>
          <w:sz w:val="32"/>
          <w:szCs w:val="32"/>
        </w:rPr>
      </w:pPr>
      <w:r>
        <w:rPr>
          <w:rFonts w:eastAsia="黑体"/>
          <w:b/>
          <w:sz w:val="32"/>
          <w:szCs w:val="32"/>
        </w:rPr>
        <w:br w:type="page"/>
      </w:r>
      <w:r>
        <w:rPr>
          <w:rFonts w:eastAsia="仿宋_GB2312" w:hint="eastAsia"/>
          <w:b/>
          <w:spacing w:val="-14"/>
          <w:kern w:val="0"/>
          <w:sz w:val="32"/>
          <w:szCs w:val="32"/>
        </w:rPr>
        <w:lastRenderedPageBreak/>
        <w:t>《可生物降解型液压支架用浓缩液技术条件》</w:t>
      </w:r>
    </w:p>
    <w:p w14:paraId="7EB4F88D" w14:textId="77777777" w:rsidR="004A0975" w:rsidRDefault="00000000">
      <w:pPr>
        <w:spacing w:line="360" w:lineRule="auto"/>
        <w:jc w:val="center"/>
        <w:rPr>
          <w:rFonts w:eastAsia="仿宋_GB2312"/>
          <w:b/>
          <w:spacing w:val="-14"/>
          <w:kern w:val="0"/>
          <w:sz w:val="32"/>
          <w:szCs w:val="32"/>
        </w:rPr>
      </w:pPr>
      <w:r>
        <w:rPr>
          <w:rFonts w:eastAsia="仿宋_GB2312" w:hint="eastAsia"/>
          <w:b/>
          <w:spacing w:val="-14"/>
          <w:kern w:val="0"/>
          <w:sz w:val="32"/>
          <w:szCs w:val="32"/>
        </w:rPr>
        <w:t>编制说明</w:t>
      </w:r>
    </w:p>
    <w:p w14:paraId="2E038836" w14:textId="77777777" w:rsidR="004A0975" w:rsidRDefault="004A0975">
      <w:pPr>
        <w:spacing w:line="336" w:lineRule="auto"/>
        <w:ind w:firstLineChars="132" w:firstLine="317"/>
        <w:rPr>
          <w:rFonts w:ascii="黑体" w:eastAsia="黑体"/>
          <w:sz w:val="24"/>
        </w:rPr>
      </w:pPr>
    </w:p>
    <w:p w14:paraId="6D38C760" w14:textId="77777777" w:rsidR="004A0975" w:rsidRDefault="00000000">
      <w:pPr>
        <w:spacing w:line="336" w:lineRule="auto"/>
        <w:ind w:firstLineChars="132" w:firstLine="317"/>
        <w:rPr>
          <w:rFonts w:ascii="黑体" w:eastAsia="黑体"/>
          <w:sz w:val="24"/>
        </w:rPr>
      </w:pPr>
      <w:r>
        <w:rPr>
          <w:rFonts w:ascii="黑体" w:eastAsia="黑体" w:hint="eastAsia"/>
          <w:sz w:val="24"/>
        </w:rPr>
        <w:t>一、工作简况</w:t>
      </w:r>
    </w:p>
    <w:p w14:paraId="04AB049E" w14:textId="77777777" w:rsidR="004A0975" w:rsidRDefault="00000000">
      <w:pPr>
        <w:spacing w:line="336" w:lineRule="auto"/>
        <w:ind w:firstLineChars="200" w:firstLine="480"/>
        <w:rPr>
          <w:sz w:val="24"/>
        </w:rPr>
      </w:pPr>
      <w:r>
        <w:rPr>
          <w:rFonts w:ascii="黑体" w:eastAsia="黑体" w:hint="eastAsia"/>
          <w:sz w:val="24"/>
        </w:rPr>
        <w:t>1  任务来源</w:t>
      </w:r>
    </w:p>
    <w:p w14:paraId="144AA9C7" w14:textId="77777777" w:rsidR="004A0975" w:rsidRDefault="00000000">
      <w:pPr>
        <w:spacing w:line="336" w:lineRule="auto"/>
        <w:ind w:firstLineChars="200" w:firstLine="480"/>
        <w:rPr>
          <w:sz w:val="24"/>
        </w:rPr>
      </w:pPr>
      <w:bookmarkStart w:id="0" w:name="_Hlk84668809"/>
      <w:r>
        <w:rPr>
          <w:rFonts w:hint="eastAsia"/>
          <w:sz w:val="24"/>
        </w:rPr>
        <w:t>绿色矿山建设是煤矿智能化建设的重要内容。随着绿色矿山建设的推进，作为智能化核心装备液压支架系统的“血液”，液压传动介质环保性能的提高是产品升级换代的主要方向。目前，我国各区域矿井配液水质复杂多变，同时产品环保性能不足，这常常导致矿井水可生物降解性差和氨氮含量超标。此外，液压支架传动介质普遍使用亚硝酸钠作为缓蚀剂以防止黑色金属锈蚀。然而，亚硝酸钠是一种危害人体健康的物质，需尽量避免使用。基于以上原因，有必要根据绿色矿山建设的需求</w:t>
      </w:r>
      <w:bookmarkEnd w:id="0"/>
      <w:r>
        <w:rPr>
          <w:rFonts w:hint="eastAsia"/>
          <w:sz w:val="24"/>
        </w:rPr>
        <w:t>制定《可生物降解型液压支架用浓缩液技术条件》。</w:t>
      </w:r>
    </w:p>
    <w:p w14:paraId="39F6DBEF" w14:textId="77777777" w:rsidR="004A0975" w:rsidRDefault="00000000">
      <w:pPr>
        <w:spacing w:line="336" w:lineRule="auto"/>
        <w:ind w:firstLineChars="200" w:firstLine="480"/>
        <w:rPr>
          <w:sz w:val="24"/>
        </w:rPr>
      </w:pPr>
      <w:r>
        <w:rPr>
          <w:rFonts w:hint="eastAsia"/>
          <w:sz w:val="24"/>
        </w:rPr>
        <w:t>2024</w:t>
      </w:r>
      <w:r>
        <w:rPr>
          <w:rFonts w:hint="eastAsia"/>
          <w:sz w:val="24"/>
        </w:rPr>
        <w:t>年</w:t>
      </w:r>
      <w:r>
        <w:rPr>
          <w:rFonts w:hint="eastAsia"/>
          <w:sz w:val="24"/>
        </w:rPr>
        <w:t>4</w:t>
      </w:r>
      <w:r>
        <w:rPr>
          <w:rFonts w:hint="eastAsia"/>
          <w:sz w:val="24"/>
        </w:rPr>
        <w:t>月，中国煤炭学会向煤科（北京）新材料科技有限公司（煤炭科学技术研究院有限公司矿用材料分院）下达了《超稳高效环保型液压支架用浓缩液技术条件》团体标准制定任务，任务编号为</w:t>
      </w:r>
      <w:r>
        <w:rPr>
          <w:rFonts w:hint="eastAsia"/>
          <w:sz w:val="24"/>
        </w:rPr>
        <w:t>t/ccs2023027</w:t>
      </w:r>
      <w:r>
        <w:rPr>
          <w:rFonts w:hint="eastAsia"/>
          <w:sz w:val="24"/>
        </w:rPr>
        <w:t>。</w:t>
      </w:r>
    </w:p>
    <w:p w14:paraId="405AEFB8" w14:textId="77777777" w:rsidR="004A0975" w:rsidRDefault="00000000">
      <w:pPr>
        <w:spacing w:line="336" w:lineRule="auto"/>
        <w:ind w:firstLineChars="200" w:firstLine="480"/>
        <w:rPr>
          <w:rFonts w:ascii="黑体" w:eastAsia="黑体"/>
          <w:sz w:val="24"/>
        </w:rPr>
      </w:pPr>
      <w:r>
        <w:rPr>
          <w:rFonts w:ascii="黑体" w:eastAsia="黑体" w:hint="eastAsia"/>
          <w:sz w:val="24"/>
        </w:rPr>
        <w:t>2  起草单位及协作单位</w:t>
      </w:r>
    </w:p>
    <w:p w14:paraId="5C8DF7AF" w14:textId="77777777" w:rsidR="004A0975" w:rsidRDefault="00000000">
      <w:pPr>
        <w:spacing w:line="336" w:lineRule="auto"/>
        <w:ind w:firstLineChars="200" w:firstLine="480"/>
        <w:rPr>
          <w:sz w:val="24"/>
        </w:rPr>
      </w:pPr>
      <w:r>
        <w:rPr>
          <w:rFonts w:hint="eastAsia"/>
          <w:sz w:val="24"/>
        </w:rPr>
        <w:t>本标准的主要起草单位为煤科（北京）新材料科技有限公司（煤炭科学技术研究院有限公司矿用材料分院）。</w:t>
      </w:r>
    </w:p>
    <w:p w14:paraId="37B9A928" w14:textId="77777777" w:rsidR="004A0975" w:rsidRDefault="00000000">
      <w:pPr>
        <w:spacing w:line="336" w:lineRule="auto"/>
        <w:ind w:firstLineChars="200" w:firstLine="480"/>
        <w:rPr>
          <w:rFonts w:ascii="黑体" w:eastAsia="黑体"/>
          <w:sz w:val="24"/>
        </w:rPr>
      </w:pPr>
      <w:r>
        <w:rPr>
          <w:rFonts w:ascii="黑体" w:eastAsia="黑体" w:hint="eastAsia"/>
          <w:sz w:val="24"/>
        </w:rPr>
        <w:t>3  主要工作过程</w:t>
      </w:r>
    </w:p>
    <w:p w14:paraId="52F7292F" w14:textId="77777777" w:rsidR="004A0975" w:rsidRDefault="00000000">
      <w:pPr>
        <w:spacing w:line="336" w:lineRule="auto"/>
        <w:ind w:firstLineChars="200" w:firstLine="480"/>
        <w:rPr>
          <w:sz w:val="24"/>
        </w:rPr>
      </w:pPr>
      <w:r>
        <w:rPr>
          <w:rFonts w:hint="eastAsia"/>
          <w:sz w:val="24"/>
        </w:rPr>
        <w:t>a</w:t>
      </w:r>
      <w:r>
        <w:rPr>
          <w:rFonts w:hint="eastAsia"/>
          <w:sz w:val="24"/>
        </w:rPr>
        <w:t>）成立起草小组，制定工作进度计划；</w:t>
      </w:r>
    </w:p>
    <w:p w14:paraId="71DA783B" w14:textId="77777777" w:rsidR="004A0975" w:rsidRDefault="00000000">
      <w:pPr>
        <w:spacing w:line="336" w:lineRule="auto"/>
        <w:ind w:firstLineChars="200" w:firstLine="480"/>
        <w:rPr>
          <w:sz w:val="24"/>
        </w:rPr>
      </w:pPr>
      <w:r>
        <w:rPr>
          <w:rFonts w:hint="eastAsia"/>
          <w:sz w:val="24"/>
        </w:rPr>
        <w:t>b</w:t>
      </w:r>
      <w:r>
        <w:rPr>
          <w:rFonts w:hint="eastAsia"/>
          <w:sz w:val="24"/>
        </w:rPr>
        <w:t>）查阅不同国家和地区有关标准资料；</w:t>
      </w:r>
    </w:p>
    <w:p w14:paraId="54BC61ED" w14:textId="77777777" w:rsidR="004A0975" w:rsidRDefault="00000000">
      <w:pPr>
        <w:spacing w:line="336" w:lineRule="auto"/>
        <w:ind w:firstLineChars="200" w:firstLine="480"/>
        <w:rPr>
          <w:sz w:val="24"/>
        </w:rPr>
      </w:pPr>
      <w:r>
        <w:rPr>
          <w:rFonts w:hint="eastAsia"/>
          <w:sz w:val="24"/>
        </w:rPr>
        <w:t>c</w:t>
      </w:r>
      <w:r>
        <w:rPr>
          <w:rFonts w:hint="eastAsia"/>
          <w:sz w:val="24"/>
        </w:rPr>
        <w:t>）小组范围内讨论，形成标准制定方案；</w:t>
      </w:r>
    </w:p>
    <w:p w14:paraId="60B812ED" w14:textId="77777777" w:rsidR="004A0975" w:rsidRDefault="00000000">
      <w:pPr>
        <w:spacing w:line="336" w:lineRule="auto"/>
        <w:ind w:firstLineChars="200" w:firstLine="480"/>
        <w:rPr>
          <w:sz w:val="24"/>
        </w:rPr>
      </w:pPr>
      <w:r>
        <w:rPr>
          <w:rFonts w:hint="eastAsia"/>
          <w:sz w:val="24"/>
        </w:rPr>
        <w:t>d</w:t>
      </w:r>
      <w:r>
        <w:rPr>
          <w:rFonts w:hint="eastAsia"/>
          <w:sz w:val="24"/>
        </w:rPr>
        <w:t>）进行研究分析，确定标准的主要技术内容；</w:t>
      </w:r>
    </w:p>
    <w:p w14:paraId="16FF702C" w14:textId="77777777" w:rsidR="004A0975" w:rsidRDefault="00000000">
      <w:pPr>
        <w:spacing w:line="336" w:lineRule="auto"/>
        <w:ind w:firstLineChars="200" w:firstLine="480"/>
        <w:rPr>
          <w:sz w:val="24"/>
        </w:rPr>
      </w:pPr>
      <w:r>
        <w:rPr>
          <w:rFonts w:hint="eastAsia"/>
          <w:sz w:val="24"/>
        </w:rPr>
        <w:t>e</w:t>
      </w:r>
      <w:r>
        <w:rPr>
          <w:rFonts w:hint="eastAsia"/>
          <w:sz w:val="24"/>
        </w:rPr>
        <w:t>）起草标准的征求意见稿，发给中国煤炭学会征求意见。</w:t>
      </w:r>
    </w:p>
    <w:p w14:paraId="328A7F3D" w14:textId="77777777" w:rsidR="004A0975" w:rsidRDefault="00000000">
      <w:pPr>
        <w:spacing w:line="336" w:lineRule="auto"/>
        <w:ind w:firstLineChars="200" w:firstLine="480"/>
        <w:rPr>
          <w:rFonts w:ascii="黑体" w:eastAsia="黑体"/>
          <w:sz w:val="24"/>
        </w:rPr>
      </w:pPr>
      <w:r>
        <w:rPr>
          <w:rFonts w:ascii="黑体" w:eastAsia="黑体" w:hint="eastAsia"/>
          <w:sz w:val="24"/>
        </w:rPr>
        <w:t>4、主要起草人及其所做的工作</w:t>
      </w:r>
    </w:p>
    <w:p w14:paraId="030D97AC" w14:textId="77777777" w:rsidR="004A0975" w:rsidRDefault="00000000">
      <w:pPr>
        <w:spacing w:line="336" w:lineRule="auto"/>
        <w:ind w:firstLineChars="200" w:firstLine="480"/>
        <w:rPr>
          <w:sz w:val="24"/>
        </w:rPr>
      </w:pPr>
      <w:r>
        <w:rPr>
          <w:rFonts w:hint="eastAsia"/>
          <w:sz w:val="24"/>
        </w:rPr>
        <w:t>主要起草人为孙刚、李硕林、白飞飞、王继勇等，所做主要工作为：</w:t>
      </w:r>
    </w:p>
    <w:p w14:paraId="700E0F5F" w14:textId="77777777" w:rsidR="004A0975" w:rsidRDefault="00000000">
      <w:pPr>
        <w:spacing w:line="336" w:lineRule="auto"/>
        <w:ind w:firstLineChars="200" w:firstLine="480"/>
        <w:rPr>
          <w:sz w:val="24"/>
        </w:rPr>
      </w:pPr>
      <w:r>
        <w:rPr>
          <w:rFonts w:hint="eastAsia"/>
          <w:sz w:val="24"/>
        </w:rPr>
        <w:t>a</w:t>
      </w:r>
      <w:r>
        <w:rPr>
          <w:rFonts w:hint="eastAsia"/>
          <w:sz w:val="24"/>
        </w:rPr>
        <w:t>）查阅不同国家和地区有关标准资料；</w:t>
      </w:r>
    </w:p>
    <w:p w14:paraId="7F1F8931" w14:textId="77777777" w:rsidR="004A0975" w:rsidRDefault="00000000">
      <w:pPr>
        <w:spacing w:line="336" w:lineRule="auto"/>
        <w:ind w:firstLineChars="200" w:firstLine="480"/>
        <w:rPr>
          <w:sz w:val="24"/>
        </w:rPr>
      </w:pPr>
      <w:r>
        <w:rPr>
          <w:rFonts w:hint="eastAsia"/>
          <w:sz w:val="24"/>
        </w:rPr>
        <w:t>b</w:t>
      </w:r>
      <w:r>
        <w:rPr>
          <w:rFonts w:hint="eastAsia"/>
          <w:sz w:val="24"/>
        </w:rPr>
        <w:t>）进行研究分析，确定标准的主要技术内容；</w:t>
      </w:r>
    </w:p>
    <w:p w14:paraId="0D0FB383" w14:textId="77777777" w:rsidR="004A0975" w:rsidRDefault="00000000">
      <w:pPr>
        <w:spacing w:line="336" w:lineRule="auto"/>
        <w:ind w:firstLineChars="200" w:firstLine="480"/>
        <w:rPr>
          <w:sz w:val="24"/>
        </w:rPr>
      </w:pPr>
      <w:r>
        <w:rPr>
          <w:rFonts w:hint="eastAsia"/>
          <w:sz w:val="24"/>
        </w:rPr>
        <w:t>c</w:t>
      </w:r>
      <w:r>
        <w:rPr>
          <w:rFonts w:hint="eastAsia"/>
          <w:sz w:val="24"/>
        </w:rPr>
        <w:t>）工作组会议确定征求意见稿的基本内容；</w:t>
      </w:r>
    </w:p>
    <w:p w14:paraId="41E78218" w14:textId="77777777" w:rsidR="004A0975" w:rsidRDefault="00000000">
      <w:pPr>
        <w:spacing w:line="336" w:lineRule="auto"/>
        <w:ind w:firstLineChars="200" w:firstLine="480"/>
        <w:rPr>
          <w:sz w:val="24"/>
        </w:rPr>
      </w:pPr>
      <w:r>
        <w:rPr>
          <w:rFonts w:hint="eastAsia"/>
          <w:sz w:val="24"/>
        </w:rPr>
        <w:t>d</w:t>
      </w:r>
      <w:r>
        <w:rPr>
          <w:rFonts w:hint="eastAsia"/>
          <w:sz w:val="24"/>
        </w:rPr>
        <w:t>）标准征求意见稿和编制说明的起草。</w:t>
      </w:r>
    </w:p>
    <w:p w14:paraId="487799D3" w14:textId="77777777" w:rsidR="004A0975" w:rsidRDefault="00000000">
      <w:pPr>
        <w:spacing w:beforeLines="50" w:before="156" w:line="360" w:lineRule="auto"/>
        <w:ind w:firstLineChars="200" w:firstLine="480"/>
        <w:rPr>
          <w:rFonts w:ascii="黑体" w:eastAsia="黑体"/>
          <w:sz w:val="24"/>
        </w:rPr>
      </w:pPr>
      <w:r>
        <w:rPr>
          <w:rFonts w:ascii="黑体" w:eastAsia="黑体" w:hint="eastAsia"/>
          <w:sz w:val="24"/>
        </w:rPr>
        <w:lastRenderedPageBreak/>
        <w:t>二、标准主要技术内容</w:t>
      </w:r>
    </w:p>
    <w:p w14:paraId="71FE8751" w14:textId="77777777" w:rsidR="004A0975" w:rsidRDefault="00000000">
      <w:pPr>
        <w:spacing w:line="360" w:lineRule="auto"/>
        <w:ind w:firstLineChars="200" w:firstLine="480"/>
        <w:rPr>
          <w:sz w:val="24"/>
        </w:rPr>
      </w:pPr>
      <w:r>
        <w:rPr>
          <w:rFonts w:hint="eastAsia"/>
          <w:sz w:val="24"/>
        </w:rPr>
        <w:t>本标准主要技术内容如下：</w:t>
      </w:r>
    </w:p>
    <w:p w14:paraId="042E920E" w14:textId="77777777" w:rsidR="004A0975" w:rsidRDefault="00000000">
      <w:pPr>
        <w:numPr>
          <w:ilvl w:val="0"/>
          <w:numId w:val="1"/>
        </w:numPr>
        <w:spacing w:line="360" w:lineRule="auto"/>
        <w:ind w:firstLineChars="200" w:firstLine="480"/>
        <w:rPr>
          <w:rFonts w:hAnsi="宋体" w:hint="eastAsia"/>
          <w:color w:val="000000"/>
          <w:sz w:val="24"/>
        </w:rPr>
      </w:pPr>
      <w:r>
        <w:rPr>
          <w:rFonts w:hAnsi="宋体" w:hint="eastAsia"/>
          <w:color w:val="000000"/>
          <w:sz w:val="24"/>
        </w:rPr>
        <w:t>定义术语“可生物降解”的含义；</w:t>
      </w:r>
    </w:p>
    <w:p w14:paraId="39DED1F9" w14:textId="77777777" w:rsidR="004A0975" w:rsidRDefault="00000000">
      <w:pPr>
        <w:numPr>
          <w:ilvl w:val="0"/>
          <w:numId w:val="1"/>
        </w:numPr>
        <w:spacing w:line="360" w:lineRule="auto"/>
        <w:ind w:firstLineChars="200" w:firstLine="480"/>
        <w:rPr>
          <w:rFonts w:hAnsi="宋体" w:hint="eastAsia"/>
          <w:color w:val="000000"/>
          <w:sz w:val="24"/>
        </w:rPr>
      </w:pPr>
      <w:r>
        <w:rPr>
          <w:rFonts w:hint="eastAsia"/>
          <w:sz w:val="24"/>
        </w:rPr>
        <w:t>采用</w:t>
      </w:r>
      <w:r>
        <w:rPr>
          <w:rFonts w:hint="eastAsia"/>
          <w:sz w:val="24"/>
        </w:rPr>
        <w:t>COD/BOD</w:t>
      </w:r>
      <w:r>
        <w:rPr>
          <w:rFonts w:hint="eastAsia"/>
          <w:sz w:val="24"/>
          <w:vertAlign w:val="subscript"/>
        </w:rPr>
        <w:t>5</w:t>
      </w:r>
      <w:r>
        <w:rPr>
          <w:rFonts w:hint="eastAsia"/>
          <w:sz w:val="24"/>
        </w:rPr>
        <w:t>的比值方式表征可生物降解性，方法重复性好，可操作性强；</w:t>
      </w:r>
    </w:p>
    <w:p w14:paraId="556EBEA8" w14:textId="77777777" w:rsidR="004A0975" w:rsidRDefault="00000000">
      <w:pPr>
        <w:numPr>
          <w:ilvl w:val="0"/>
          <w:numId w:val="1"/>
        </w:numPr>
        <w:spacing w:line="360" w:lineRule="auto"/>
        <w:ind w:firstLineChars="200" w:firstLine="480"/>
        <w:rPr>
          <w:rFonts w:hAnsi="宋体" w:hint="eastAsia"/>
          <w:color w:val="000000"/>
          <w:sz w:val="24"/>
        </w:rPr>
      </w:pPr>
      <w:r>
        <w:rPr>
          <w:rFonts w:cs="Arial" w:hint="eastAsia"/>
          <w:sz w:val="24"/>
        </w:rPr>
        <w:t>提高产品消泡性的要求，与</w:t>
      </w:r>
      <w:r>
        <w:rPr>
          <w:rFonts w:cs="Arial" w:hint="eastAsia"/>
          <w:sz w:val="24"/>
        </w:rPr>
        <w:t>MT/T 76</w:t>
      </w:r>
      <w:r>
        <w:rPr>
          <w:rFonts w:cs="Arial" w:hint="eastAsia"/>
          <w:sz w:val="24"/>
        </w:rPr>
        <w:t>相比，消泡性技术指标提高逾</w:t>
      </w:r>
      <w:r>
        <w:rPr>
          <w:rFonts w:cs="Arial" w:hint="eastAsia"/>
          <w:sz w:val="24"/>
        </w:rPr>
        <w:t>5</w:t>
      </w:r>
      <w:r>
        <w:rPr>
          <w:rFonts w:cs="Arial" w:hint="eastAsia"/>
          <w:sz w:val="24"/>
        </w:rPr>
        <w:t>倍；</w:t>
      </w:r>
    </w:p>
    <w:p w14:paraId="0295D857" w14:textId="77777777" w:rsidR="004A0975" w:rsidRDefault="00000000">
      <w:pPr>
        <w:numPr>
          <w:ilvl w:val="0"/>
          <w:numId w:val="1"/>
        </w:numPr>
        <w:spacing w:line="360" w:lineRule="auto"/>
        <w:ind w:firstLineChars="200" w:firstLine="480"/>
        <w:rPr>
          <w:rFonts w:hAnsi="宋体" w:hint="eastAsia"/>
          <w:color w:val="000000"/>
          <w:sz w:val="24"/>
        </w:rPr>
      </w:pPr>
      <w:r>
        <w:rPr>
          <w:rFonts w:hAnsi="宋体" w:hint="eastAsia"/>
          <w:color w:val="000000"/>
          <w:sz w:val="24"/>
        </w:rPr>
        <w:t>综合参考</w:t>
      </w:r>
      <w:r>
        <w:rPr>
          <w:rFonts w:hAnsi="宋体" w:hint="eastAsia"/>
          <w:color w:val="000000"/>
          <w:sz w:val="24"/>
        </w:rPr>
        <w:t>GB 8978-1996</w:t>
      </w:r>
      <w:r>
        <w:rPr>
          <w:rFonts w:hAnsi="宋体" w:hint="eastAsia"/>
          <w:color w:val="000000"/>
          <w:sz w:val="24"/>
        </w:rPr>
        <w:t>《污水综合排放标准》和</w:t>
      </w:r>
      <w:r>
        <w:rPr>
          <w:rFonts w:hAnsi="宋体" w:hint="eastAsia"/>
          <w:color w:val="000000"/>
          <w:sz w:val="24"/>
        </w:rPr>
        <w:t>GB 18918-2002</w:t>
      </w:r>
      <w:r>
        <w:rPr>
          <w:rFonts w:hAnsi="宋体" w:hint="eastAsia"/>
          <w:color w:val="000000"/>
          <w:sz w:val="24"/>
        </w:rPr>
        <w:t>《城镇污水处理厂污染物排放标准》制定氨氮含量限值；</w:t>
      </w:r>
    </w:p>
    <w:p w14:paraId="76E99B55" w14:textId="77777777" w:rsidR="004A0975" w:rsidRDefault="00000000">
      <w:pPr>
        <w:numPr>
          <w:ilvl w:val="0"/>
          <w:numId w:val="1"/>
        </w:numPr>
        <w:spacing w:line="360" w:lineRule="auto"/>
        <w:ind w:firstLineChars="200" w:firstLine="480"/>
        <w:rPr>
          <w:rFonts w:hAnsi="宋体" w:hint="eastAsia"/>
          <w:color w:val="000000"/>
          <w:sz w:val="24"/>
        </w:rPr>
      </w:pPr>
      <w:r>
        <w:rPr>
          <w:rFonts w:cs="Arial" w:hint="eastAsia"/>
          <w:sz w:val="24"/>
        </w:rPr>
        <w:t>参照</w:t>
      </w:r>
      <w:r>
        <w:rPr>
          <w:rFonts w:cs="Arial" w:hint="eastAsia"/>
          <w:sz w:val="24"/>
        </w:rPr>
        <w:t>GB 20426</w:t>
      </w:r>
      <w:r>
        <w:rPr>
          <w:rFonts w:cs="Arial" w:hint="eastAsia"/>
          <w:sz w:val="24"/>
        </w:rPr>
        <w:t>《煤炭工业污染物排放标准》制定各有害元素含量限值。</w:t>
      </w:r>
    </w:p>
    <w:p w14:paraId="43B6BC2D" w14:textId="77777777" w:rsidR="004A0975" w:rsidRDefault="00000000">
      <w:pPr>
        <w:spacing w:beforeLines="50" w:before="156" w:line="360" w:lineRule="auto"/>
        <w:ind w:firstLineChars="200" w:firstLine="480"/>
        <w:rPr>
          <w:rFonts w:ascii="黑体" w:eastAsia="黑体"/>
          <w:sz w:val="24"/>
        </w:rPr>
      </w:pPr>
      <w:r>
        <w:rPr>
          <w:rFonts w:ascii="黑体" w:eastAsia="黑体" w:hint="eastAsia"/>
          <w:sz w:val="24"/>
        </w:rPr>
        <w:t>三、主要试验的分析</w:t>
      </w:r>
    </w:p>
    <w:p w14:paraId="4CC9022E" w14:textId="77777777" w:rsidR="004A0975" w:rsidRDefault="00000000">
      <w:pPr>
        <w:spacing w:line="360" w:lineRule="auto"/>
        <w:ind w:firstLine="480"/>
        <w:rPr>
          <w:sz w:val="24"/>
        </w:rPr>
      </w:pPr>
      <w:r>
        <w:rPr>
          <w:rFonts w:hint="eastAsia"/>
          <w:sz w:val="24"/>
        </w:rPr>
        <w:t>1</w:t>
      </w:r>
      <w:r>
        <w:rPr>
          <w:rFonts w:hint="eastAsia"/>
          <w:sz w:val="24"/>
        </w:rPr>
        <w:t>．“可生物降解型液压支架用浓缩液技术条件”</w:t>
      </w:r>
    </w:p>
    <w:p w14:paraId="4BDAA69B" w14:textId="77777777" w:rsidR="004A0975" w:rsidRDefault="00000000">
      <w:pPr>
        <w:spacing w:line="360" w:lineRule="auto"/>
        <w:ind w:firstLine="480"/>
        <w:rPr>
          <w:sz w:val="24"/>
        </w:rPr>
      </w:pPr>
      <w:r>
        <w:rPr>
          <w:rFonts w:hint="eastAsia"/>
          <w:sz w:val="24"/>
        </w:rPr>
        <w:t>本标准原名称为《超稳高效环保型液压支架用传动介质技术条件》，由于主要技术内容为环保性能的要求，侧重于可生物降解性的要求，因此将标准名称变更为《可生物降解型液压支架用浓缩液技术条件》。所指的产品不包含乳化油，这是由于乳化油成分中含有矿物质油，与“可生物降解”相悖。</w:t>
      </w:r>
    </w:p>
    <w:p w14:paraId="5D748576" w14:textId="77777777" w:rsidR="004A0975" w:rsidRDefault="00000000">
      <w:pPr>
        <w:spacing w:line="360" w:lineRule="auto"/>
        <w:ind w:firstLine="480"/>
        <w:rPr>
          <w:sz w:val="24"/>
        </w:rPr>
      </w:pPr>
      <w:r>
        <w:rPr>
          <w:rFonts w:hint="eastAsia"/>
          <w:sz w:val="24"/>
        </w:rPr>
        <w:t>2.</w:t>
      </w:r>
      <w:r>
        <w:rPr>
          <w:rFonts w:hint="eastAsia"/>
          <w:sz w:val="24"/>
        </w:rPr>
        <w:t>“</w:t>
      </w:r>
      <w:r>
        <w:rPr>
          <w:rFonts w:hint="eastAsia"/>
          <w:sz w:val="24"/>
        </w:rPr>
        <w:t xml:space="preserve">3  </w:t>
      </w:r>
      <w:r>
        <w:rPr>
          <w:rFonts w:hint="eastAsia"/>
          <w:sz w:val="24"/>
        </w:rPr>
        <w:t>术语和定义</w:t>
      </w:r>
      <w:r>
        <w:rPr>
          <w:rFonts w:cs="Arial" w:hint="eastAsia"/>
          <w:sz w:val="24"/>
        </w:rPr>
        <w:t>……</w:t>
      </w:r>
      <w:r>
        <w:rPr>
          <w:rFonts w:hint="eastAsia"/>
          <w:sz w:val="24"/>
        </w:rPr>
        <w:t>”</w:t>
      </w:r>
    </w:p>
    <w:p w14:paraId="5522B75E" w14:textId="77777777" w:rsidR="004A0975" w:rsidRDefault="00000000">
      <w:pPr>
        <w:spacing w:line="360" w:lineRule="auto"/>
        <w:ind w:firstLine="480"/>
        <w:rPr>
          <w:sz w:val="24"/>
        </w:rPr>
      </w:pPr>
      <w:r>
        <w:rPr>
          <w:rFonts w:hint="eastAsia"/>
          <w:sz w:val="24"/>
        </w:rPr>
        <w:t>MT/T 76-2011</w:t>
      </w:r>
      <w:r>
        <w:rPr>
          <w:rFonts w:hint="eastAsia"/>
          <w:sz w:val="24"/>
        </w:rPr>
        <w:t>中规定了“浓缩液”、“乳化油”和“高含水液压液”的术语，并进行了定义。本标准采用上述术语和定义。由于本标准涉及到新的术语——可生物降解，该术语在</w:t>
      </w:r>
      <w:r>
        <w:rPr>
          <w:rFonts w:hint="eastAsia"/>
          <w:sz w:val="24"/>
        </w:rPr>
        <w:t>MT/T 76-2011</w:t>
      </w:r>
      <w:r>
        <w:rPr>
          <w:rFonts w:hint="eastAsia"/>
          <w:sz w:val="24"/>
        </w:rPr>
        <w:t>中没有定义，故此，本标准增加此术语和定义。</w:t>
      </w:r>
    </w:p>
    <w:p w14:paraId="35EF7202" w14:textId="77777777" w:rsidR="004A0975" w:rsidRDefault="00000000">
      <w:pPr>
        <w:spacing w:line="360" w:lineRule="auto"/>
        <w:ind w:firstLine="435"/>
        <w:outlineLvl w:val="0"/>
        <w:rPr>
          <w:rFonts w:cs="Arial"/>
          <w:sz w:val="24"/>
        </w:rPr>
      </w:pPr>
      <w:r>
        <w:rPr>
          <w:rFonts w:hint="eastAsia"/>
          <w:sz w:val="24"/>
        </w:rPr>
        <w:t>3.</w:t>
      </w:r>
      <w:r>
        <w:rPr>
          <w:rFonts w:cs="Arial" w:hint="eastAsia"/>
          <w:sz w:val="24"/>
        </w:rPr>
        <w:t>“</w:t>
      </w:r>
      <w:r>
        <w:rPr>
          <w:rFonts w:hint="eastAsia"/>
          <w:sz w:val="24"/>
        </w:rPr>
        <w:t xml:space="preserve">5.1  </w:t>
      </w:r>
      <w:r>
        <w:rPr>
          <w:rFonts w:hint="eastAsia"/>
          <w:sz w:val="24"/>
        </w:rPr>
        <w:t>亚硝酸根含量</w:t>
      </w:r>
      <w:r>
        <w:rPr>
          <w:rFonts w:cs="Arial" w:hint="eastAsia"/>
          <w:sz w:val="24"/>
        </w:rPr>
        <w:t>……”和“</w:t>
      </w:r>
      <w:r>
        <w:rPr>
          <w:rFonts w:hint="eastAsia"/>
          <w:sz w:val="24"/>
        </w:rPr>
        <w:t xml:space="preserve">6.2  </w:t>
      </w:r>
      <w:r>
        <w:rPr>
          <w:rFonts w:hint="eastAsia"/>
          <w:sz w:val="24"/>
        </w:rPr>
        <w:t>亚硝酸根含量</w:t>
      </w:r>
      <w:r>
        <w:rPr>
          <w:rFonts w:cs="Arial" w:hint="eastAsia"/>
          <w:sz w:val="24"/>
        </w:rPr>
        <w:t>……”</w:t>
      </w:r>
    </w:p>
    <w:p w14:paraId="15B8DEEF" w14:textId="77777777" w:rsidR="004A0975" w:rsidRDefault="00000000">
      <w:pPr>
        <w:spacing w:line="360" w:lineRule="auto"/>
        <w:ind w:firstLine="435"/>
        <w:outlineLvl w:val="0"/>
        <w:rPr>
          <w:rFonts w:hAnsi="宋体" w:hint="eastAsia"/>
          <w:color w:val="000000"/>
          <w:sz w:val="24"/>
        </w:rPr>
      </w:pPr>
      <w:r>
        <w:rPr>
          <w:rFonts w:hAnsi="宋体" w:hint="eastAsia"/>
          <w:color w:val="000000"/>
          <w:sz w:val="24"/>
        </w:rPr>
        <w:t>液压支架浓缩液普遍使用亚硝酸钠作为黑色金属防锈剂，但该物质危害人体健康。作为可生物降解型浓缩液应不使用亚硝酸钠。因此本标准规定了亚硝酸钠含量限值。</w:t>
      </w:r>
    </w:p>
    <w:p w14:paraId="1D3F5F75" w14:textId="77777777" w:rsidR="004A0975" w:rsidRDefault="00000000">
      <w:pPr>
        <w:spacing w:line="360" w:lineRule="auto"/>
        <w:ind w:firstLineChars="200" w:firstLine="480"/>
        <w:outlineLvl w:val="0"/>
        <w:rPr>
          <w:rFonts w:cs="Arial"/>
          <w:sz w:val="24"/>
        </w:rPr>
      </w:pPr>
      <w:r>
        <w:rPr>
          <w:rFonts w:hint="eastAsia"/>
          <w:sz w:val="24"/>
        </w:rPr>
        <w:t>4.</w:t>
      </w:r>
      <w:r>
        <w:rPr>
          <w:rFonts w:cs="Arial" w:hint="eastAsia"/>
          <w:sz w:val="24"/>
        </w:rPr>
        <w:t>“</w:t>
      </w:r>
      <w:r>
        <w:rPr>
          <w:rFonts w:hint="eastAsia"/>
          <w:sz w:val="24"/>
        </w:rPr>
        <w:t xml:space="preserve">5.2  </w:t>
      </w:r>
      <w:r>
        <w:rPr>
          <w:rFonts w:hint="eastAsia"/>
          <w:sz w:val="24"/>
        </w:rPr>
        <w:t>可生物降解性</w:t>
      </w:r>
      <w:r>
        <w:rPr>
          <w:rFonts w:cs="Arial" w:hint="eastAsia"/>
          <w:sz w:val="24"/>
        </w:rPr>
        <w:t>……”和“</w:t>
      </w:r>
      <w:r>
        <w:rPr>
          <w:rFonts w:hint="eastAsia"/>
          <w:sz w:val="24"/>
        </w:rPr>
        <w:t xml:space="preserve">6.3  </w:t>
      </w:r>
      <w:r>
        <w:rPr>
          <w:rFonts w:hint="eastAsia"/>
          <w:sz w:val="24"/>
        </w:rPr>
        <w:t>可生物降解性</w:t>
      </w:r>
      <w:r>
        <w:rPr>
          <w:rFonts w:cs="Arial" w:hint="eastAsia"/>
          <w:sz w:val="24"/>
        </w:rPr>
        <w:t>……”</w:t>
      </w:r>
    </w:p>
    <w:p w14:paraId="3856381A" w14:textId="77777777" w:rsidR="004A0975" w:rsidRDefault="00000000">
      <w:pPr>
        <w:spacing w:line="360" w:lineRule="auto"/>
        <w:ind w:firstLineChars="200" w:firstLine="480"/>
        <w:rPr>
          <w:sz w:val="24"/>
        </w:rPr>
      </w:pPr>
      <w:r>
        <w:rPr>
          <w:rFonts w:hint="eastAsia"/>
          <w:sz w:val="24"/>
        </w:rPr>
        <w:t>可生物降解性为有机物质在自然条件下，受微生物的生命活动过程作用可被分解、转化为小分子物质的性质。可生物降解物质经微生物分解吸收到自然环境中，实现生态循环在环保方面具有显著优势。本标准采用</w:t>
      </w:r>
      <w:r>
        <w:rPr>
          <w:rFonts w:hint="eastAsia"/>
          <w:sz w:val="24"/>
        </w:rPr>
        <w:t>COD/BOD</w:t>
      </w:r>
      <w:r>
        <w:rPr>
          <w:rFonts w:hint="eastAsia"/>
          <w:sz w:val="24"/>
          <w:vertAlign w:val="subscript"/>
        </w:rPr>
        <w:t>5</w:t>
      </w:r>
      <w:r>
        <w:rPr>
          <w:rFonts w:hint="eastAsia"/>
          <w:sz w:val="24"/>
        </w:rPr>
        <w:t>的比值方式表征可生物降解性，方法重复性好，可操作性强。表</w:t>
      </w:r>
      <w:r>
        <w:rPr>
          <w:rFonts w:hint="eastAsia"/>
          <w:sz w:val="24"/>
        </w:rPr>
        <w:t>1</w:t>
      </w:r>
      <w:r>
        <w:rPr>
          <w:rFonts w:hint="eastAsia"/>
          <w:sz w:val="24"/>
        </w:rPr>
        <w:t>列出了不同液压支架浓缩液以</w:t>
      </w:r>
      <w:r>
        <w:rPr>
          <w:rFonts w:hint="eastAsia"/>
          <w:sz w:val="24"/>
        </w:rPr>
        <w:t>COD/BOD</w:t>
      </w:r>
      <w:r>
        <w:rPr>
          <w:rFonts w:hint="eastAsia"/>
          <w:sz w:val="24"/>
          <w:vertAlign w:val="subscript"/>
        </w:rPr>
        <w:t>5</w:t>
      </w:r>
      <w:r>
        <w:rPr>
          <w:rFonts w:hint="eastAsia"/>
          <w:sz w:val="24"/>
        </w:rPr>
        <w:t>表征的可生物降解性。</w:t>
      </w:r>
    </w:p>
    <w:p w14:paraId="39824B2B" w14:textId="77777777" w:rsidR="004A0975" w:rsidRDefault="004A0975">
      <w:pPr>
        <w:spacing w:line="360" w:lineRule="auto"/>
        <w:ind w:firstLineChars="200" w:firstLine="480"/>
        <w:rPr>
          <w:sz w:val="24"/>
        </w:rPr>
      </w:pPr>
    </w:p>
    <w:p w14:paraId="7729EDA1" w14:textId="77777777" w:rsidR="004A0975" w:rsidRDefault="004A0975">
      <w:pPr>
        <w:spacing w:line="360" w:lineRule="auto"/>
        <w:ind w:firstLineChars="200" w:firstLine="480"/>
        <w:rPr>
          <w:sz w:val="24"/>
        </w:rPr>
      </w:pPr>
    </w:p>
    <w:p w14:paraId="21B0F7D0" w14:textId="77777777" w:rsidR="004A0975" w:rsidRDefault="00000000">
      <w:pPr>
        <w:spacing w:line="360" w:lineRule="auto"/>
        <w:jc w:val="center"/>
        <w:rPr>
          <w:sz w:val="24"/>
        </w:rPr>
      </w:pPr>
      <w:r>
        <w:rPr>
          <w:rFonts w:hint="eastAsia"/>
          <w:sz w:val="24"/>
        </w:rPr>
        <w:lastRenderedPageBreak/>
        <w:t>表</w:t>
      </w:r>
      <w:r>
        <w:rPr>
          <w:rFonts w:hint="eastAsia"/>
          <w:sz w:val="24"/>
        </w:rPr>
        <w:t xml:space="preserve">1  </w:t>
      </w:r>
      <w:r>
        <w:rPr>
          <w:rFonts w:hint="eastAsia"/>
          <w:sz w:val="24"/>
        </w:rPr>
        <w:t>液压支架浓缩液的可生物降解性</w:t>
      </w:r>
    </w:p>
    <w:tbl>
      <w:tblPr>
        <w:tblStyle w:val="aa"/>
        <w:tblW w:w="0" w:type="auto"/>
        <w:tblInd w:w="396" w:type="dxa"/>
        <w:tblLook w:val="04A0" w:firstRow="1" w:lastRow="0" w:firstColumn="1" w:lastColumn="0" w:noHBand="0" w:noVBand="1"/>
      </w:tblPr>
      <w:tblGrid>
        <w:gridCol w:w="2085"/>
        <w:gridCol w:w="2085"/>
        <w:gridCol w:w="2085"/>
        <w:gridCol w:w="2085"/>
      </w:tblGrid>
      <w:tr w:rsidR="004A0975" w14:paraId="644D2FBF" w14:textId="77777777">
        <w:tc>
          <w:tcPr>
            <w:tcW w:w="2085" w:type="dxa"/>
          </w:tcPr>
          <w:p w14:paraId="07386B19" w14:textId="77777777" w:rsidR="004A0975" w:rsidRDefault="00000000">
            <w:pPr>
              <w:spacing w:line="360" w:lineRule="auto"/>
              <w:jc w:val="center"/>
              <w:rPr>
                <w:sz w:val="24"/>
              </w:rPr>
            </w:pPr>
            <w:r>
              <w:rPr>
                <w:rFonts w:hint="eastAsia"/>
                <w:sz w:val="24"/>
              </w:rPr>
              <w:t>样品编号</w:t>
            </w:r>
          </w:p>
        </w:tc>
        <w:tc>
          <w:tcPr>
            <w:tcW w:w="2085" w:type="dxa"/>
          </w:tcPr>
          <w:p w14:paraId="4AFFBD45" w14:textId="77777777" w:rsidR="004A0975" w:rsidRDefault="00000000">
            <w:pPr>
              <w:spacing w:line="360" w:lineRule="auto"/>
              <w:jc w:val="center"/>
              <w:rPr>
                <w:sz w:val="24"/>
              </w:rPr>
            </w:pPr>
            <w:r>
              <w:rPr>
                <w:rFonts w:hint="eastAsia"/>
                <w:sz w:val="24"/>
              </w:rPr>
              <w:t>COD/BOD</w:t>
            </w:r>
            <w:r>
              <w:rPr>
                <w:rFonts w:hint="eastAsia"/>
                <w:sz w:val="24"/>
                <w:vertAlign w:val="subscript"/>
              </w:rPr>
              <w:t>5</w:t>
            </w:r>
          </w:p>
        </w:tc>
        <w:tc>
          <w:tcPr>
            <w:tcW w:w="2085" w:type="dxa"/>
          </w:tcPr>
          <w:p w14:paraId="0DBD3CBC" w14:textId="77777777" w:rsidR="004A0975" w:rsidRDefault="00000000">
            <w:pPr>
              <w:spacing w:line="360" w:lineRule="auto"/>
              <w:jc w:val="center"/>
              <w:rPr>
                <w:sz w:val="24"/>
              </w:rPr>
            </w:pPr>
            <w:r>
              <w:rPr>
                <w:rFonts w:hint="eastAsia"/>
                <w:sz w:val="24"/>
              </w:rPr>
              <w:t>样品编号</w:t>
            </w:r>
          </w:p>
        </w:tc>
        <w:tc>
          <w:tcPr>
            <w:tcW w:w="2085" w:type="dxa"/>
          </w:tcPr>
          <w:p w14:paraId="5DEC1A46" w14:textId="77777777" w:rsidR="004A0975" w:rsidRDefault="00000000">
            <w:pPr>
              <w:spacing w:line="360" w:lineRule="auto"/>
              <w:jc w:val="center"/>
              <w:rPr>
                <w:sz w:val="24"/>
              </w:rPr>
            </w:pPr>
            <w:r>
              <w:rPr>
                <w:rFonts w:hint="eastAsia"/>
                <w:sz w:val="24"/>
              </w:rPr>
              <w:t>COD/BOD</w:t>
            </w:r>
            <w:r>
              <w:rPr>
                <w:rFonts w:hint="eastAsia"/>
                <w:sz w:val="24"/>
                <w:vertAlign w:val="subscript"/>
              </w:rPr>
              <w:t>5</w:t>
            </w:r>
          </w:p>
        </w:tc>
      </w:tr>
      <w:tr w:rsidR="004A0975" w14:paraId="6089E9F1" w14:textId="77777777">
        <w:tc>
          <w:tcPr>
            <w:tcW w:w="2085" w:type="dxa"/>
          </w:tcPr>
          <w:p w14:paraId="4579EB50" w14:textId="77777777" w:rsidR="004A0975" w:rsidRDefault="00000000">
            <w:pPr>
              <w:spacing w:line="360" w:lineRule="auto"/>
              <w:jc w:val="center"/>
              <w:rPr>
                <w:sz w:val="24"/>
              </w:rPr>
            </w:pPr>
            <w:r>
              <w:rPr>
                <w:rFonts w:hint="eastAsia"/>
                <w:sz w:val="24"/>
              </w:rPr>
              <w:t>A</w:t>
            </w:r>
          </w:p>
        </w:tc>
        <w:tc>
          <w:tcPr>
            <w:tcW w:w="2085" w:type="dxa"/>
          </w:tcPr>
          <w:p w14:paraId="3BB30C43" w14:textId="77777777" w:rsidR="004A0975" w:rsidRDefault="00000000">
            <w:pPr>
              <w:spacing w:line="360" w:lineRule="auto"/>
              <w:jc w:val="center"/>
              <w:rPr>
                <w:sz w:val="24"/>
              </w:rPr>
            </w:pPr>
            <w:r>
              <w:rPr>
                <w:rFonts w:hint="eastAsia"/>
                <w:sz w:val="24"/>
              </w:rPr>
              <w:t>3.29</w:t>
            </w:r>
          </w:p>
        </w:tc>
        <w:tc>
          <w:tcPr>
            <w:tcW w:w="2085" w:type="dxa"/>
          </w:tcPr>
          <w:p w14:paraId="62A1EAF3" w14:textId="77777777" w:rsidR="004A0975" w:rsidRDefault="00000000">
            <w:pPr>
              <w:spacing w:line="360" w:lineRule="auto"/>
              <w:jc w:val="center"/>
              <w:rPr>
                <w:sz w:val="24"/>
              </w:rPr>
            </w:pPr>
            <w:r>
              <w:rPr>
                <w:rFonts w:hint="eastAsia"/>
                <w:sz w:val="24"/>
              </w:rPr>
              <w:t>B</w:t>
            </w:r>
          </w:p>
        </w:tc>
        <w:tc>
          <w:tcPr>
            <w:tcW w:w="2085" w:type="dxa"/>
          </w:tcPr>
          <w:p w14:paraId="32482DDF" w14:textId="77777777" w:rsidR="004A0975" w:rsidRDefault="00000000">
            <w:pPr>
              <w:spacing w:line="360" w:lineRule="auto"/>
              <w:jc w:val="center"/>
              <w:rPr>
                <w:sz w:val="24"/>
              </w:rPr>
            </w:pPr>
            <w:r>
              <w:rPr>
                <w:rFonts w:hint="eastAsia"/>
                <w:sz w:val="24"/>
              </w:rPr>
              <w:t>4.79</w:t>
            </w:r>
          </w:p>
        </w:tc>
      </w:tr>
      <w:tr w:rsidR="004A0975" w14:paraId="30A70DCA" w14:textId="77777777">
        <w:tc>
          <w:tcPr>
            <w:tcW w:w="2085" w:type="dxa"/>
          </w:tcPr>
          <w:p w14:paraId="7188BF03" w14:textId="77777777" w:rsidR="004A0975" w:rsidRDefault="00000000">
            <w:pPr>
              <w:spacing w:line="360" w:lineRule="auto"/>
              <w:jc w:val="center"/>
              <w:rPr>
                <w:sz w:val="24"/>
              </w:rPr>
            </w:pPr>
            <w:r>
              <w:rPr>
                <w:rFonts w:hint="eastAsia"/>
                <w:sz w:val="24"/>
              </w:rPr>
              <w:t>C</w:t>
            </w:r>
          </w:p>
        </w:tc>
        <w:tc>
          <w:tcPr>
            <w:tcW w:w="2085" w:type="dxa"/>
          </w:tcPr>
          <w:p w14:paraId="09434B68" w14:textId="77777777" w:rsidR="004A0975" w:rsidRDefault="00000000">
            <w:pPr>
              <w:spacing w:line="360" w:lineRule="auto"/>
              <w:jc w:val="center"/>
              <w:rPr>
                <w:sz w:val="24"/>
              </w:rPr>
            </w:pPr>
            <w:r>
              <w:rPr>
                <w:rFonts w:hint="eastAsia"/>
                <w:sz w:val="24"/>
              </w:rPr>
              <w:t>3.67</w:t>
            </w:r>
          </w:p>
        </w:tc>
        <w:tc>
          <w:tcPr>
            <w:tcW w:w="2085" w:type="dxa"/>
          </w:tcPr>
          <w:p w14:paraId="2BA686A9" w14:textId="77777777" w:rsidR="004A0975" w:rsidRDefault="00000000">
            <w:pPr>
              <w:spacing w:line="360" w:lineRule="auto"/>
              <w:jc w:val="center"/>
              <w:rPr>
                <w:sz w:val="24"/>
              </w:rPr>
            </w:pPr>
            <w:r>
              <w:rPr>
                <w:rFonts w:hint="eastAsia"/>
                <w:sz w:val="24"/>
              </w:rPr>
              <w:t>D</w:t>
            </w:r>
          </w:p>
        </w:tc>
        <w:tc>
          <w:tcPr>
            <w:tcW w:w="2085" w:type="dxa"/>
          </w:tcPr>
          <w:p w14:paraId="3CA5EF52" w14:textId="77777777" w:rsidR="004A0975" w:rsidRDefault="00000000">
            <w:pPr>
              <w:spacing w:line="360" w:lineRule="auto"/>
              <w:jc w:val="center"/>
              <w:rPr>
                <w:sz w:val="24"/>
              </w:rPr>
            </w:pPr>
            <w:r>
              <w:rPr>
                <w:rFonts w:hint="eastAsia"/>
                <w:sz w:val="24"/>
              </w:rPr>
              <w:t>3.54</w:t>
            </w:r>
          </w:p>
        </w:tc>
      </w:tr>
      <w:tr w:rsidR="004A0975" w14:paraId="0C83594E" w14:textId="77777777">
        <w:tc>
          <w:tcPr>
            <w:tcW w:w="2085" w:type="dxa"/>
          </w:tcPr>
          <w:p w14:paraId="40A773D0" w14:textId="77777777" w:rsidR="004A0975" w:rsidRDefault="00000000">
            <w:pPr>
              <w:spacing w:line="360" w:lineRule="auto"/>
              <w:jc w:val="center"/>
              <w:rPr>
                <w:sz w:val="24"/>
              </w:rPr>
            </w:pPr>
            <w:r>
              <w:rPr>
                <w:rFonts w:hint="eastAsia"/>
                <w:sz w:val="24"/>
              </w:rPr>
              <w:t>E</w:t>
            </w:r>
          </w:p>
        </w:tc>
        <w:tc>
          <w:tcPr>
            <w:tcW w:w="2085" w:type="dxa"/>
          </w:tcPr>
          <w:p w14:paraId="36C5CB70" w14:textId="77777777" w:rsidR="004A0975" w:rsidRDefault="00000000">
            <w:pPr>
              <w:spacing w:line="360" w:lineRule="auto"/>
              <w:jc w:val="center"/>
              <w:rPr>
                <w:sz w:val="24"/>
              </w:rPr>
            </w:pPr>
            <w:r>
              <w:rPr>
                <w:rFonts w:hint="eastAsia"/>
                <w:sz w:val="24"/>
              </w:rPr>
              <w:t>3.25</w:t>
            </w:r>
          </w:p>
        </w:tc>
        <w:tc>
          <w:tcPr>
            <w:tcW w:w="2085" w:type="dxa"/>
          </w:tcPr>
          <w:p w14:paraId="4A4CD202" w14:textId="77777777" w:rsidR="004A0975" w:rsidRDefault="00000000">
            <w:pPr>
              <w:spacing w:line="360" w:lineRule="auto"/>
              <w:jc w:val="center"/>
              <w:rPr>
                <w:sz w:val="24"/>
              </w:rPr>
            </w:pPr>
            <w:r>
              <w:rPr>
                <w:rFonts w:hint="eastAsia"/>
                <w:sz w:val="24"/>
              </w:rPr>
              <w:t>F</w:t>
            </w:r>
          </w:p>
        </w:tc>
        <w:tc>
          <w:tcPr>
            <w:tcW w:w="2085" w:type="dxa"/>
          </w:tcPr>
          <w:p w14:paraId="436431C7" w14:textId="77777777" w:rsidR="004A0975" w:rsidRDefault="00000000">
            <w:pPr>
              <w:spacing w:line="360" w:lineRule="auto"/>
              <w:jc w:val="center"/>
              <w:rPr>
                <w:sz w:val="24"/>
              </w:rPr>
            </w:pPr>
            <w:r>
              <w:rPr>
                <w:rFonts w:hint="eastAsia"/>
                <w:sz w:val="24"/>
              </w:rPr>
              <w:t>2.31</w:t>
            </w:r>
          </w:p>
        </w:tc>
      </w:tr>
      <w:tr w:rsidR="004A0975" w14:paraId="6FAE7F85" w14:textId="77777777">
        <w:tc>
          <w:tcPr>
            <w:tcW w:w="2085" w:type="dxa"/>
          </w:tcPr>
          <w:p w14:paraId="138B5483" w14:textId="77777777" w:rsidR="004A0975" w:rsidRDefault="00000000">
            <w:pPr>
              <w:spacing w:line="360" w:lineRule="auto"/>
              <w:jc w:val="center"/>
              <w:rPr>
                <w:sz w:val="24"/>
              </w:rPr>
            </w:pPr>
            <w:r>
              <w:rPr>
                <w:rFonts w:hint="eastAsia"/>
                <w:sz w:val="24"/>
              </w:rPr>
              <w:t>G</w:t>
            </w:r>
          </w:p>
        </w:tc>
        <w:tc>
          <w:tcPr>
            <w:tcW w:w="2085" w:type="dxa"/>
          </w:tcPr>
          <w:p w14:paraId="6B99FE65" w14:textId="77777777" w:rsidR="004A0975" w:rsidRDefault="00000000">
            <w:pPr>
              <w:spacing w:line="360" w:lineRule="auto"/>
              <w:jc w:val="center"/>
              <w:rPr>
                <w:sz w:val="24"/>
              </w:rPr>
            </w:pPr>
            <w:r>
              <w:rPr>
                <w:rFonts w:hint="eastAsia"/>
                <w:sz w:val="24"/>
              </w:rPr>
              <w:t>2.58</w:t>
            </w:r>
          </w:p>
        </w:tc>
        <w:tc>
          <w:tcPr>
            <w:tcW w:w="2085" w:type="dxa"/>
          </w:tcPr>
          <w:p w14:paraId="5536C66D" w14:textId="77777777" w:rsidR="004A0975" w:rsidRDefault="00000000">
            <w:pPr>
              <w:spacing w:line="360" w:lineRule="auto"/>
              <w:jc w:val="center"/>
              <w:rPr>
                <w:sz w:val="24"/>
              </w:rPr>
            </w:pPr>
            <w:r>
              <w:rPr>
                <w:rFonts w:hint="eastAsia"/>
                <w:sz w:val="24"/>
              </w:rPr>
              <w:t>H</w:t>
            </w:r>
          </w:p>
        </w:tc>
        <w:tc>
          <w:tcPr>
            <w:tcW w:w="2085" w:type="dxa"/>
          </w:tcPr>
          <w:p w14:paraId="28F132A7" w14:textId="77777777" w:rsidR="004A0975" w:rsidRDefault="00000000">
            <w:pPr>
              <w:spacing w:line="360" w:lineRule="auto"/>
              <w:jc w:val="center"/>
              <w:rPr>
                <w:sz w:val="24"/>
              </w:rPr>
            </w:pPr>
            <w:r>
              <w:rPr>
                <w:rFonts w:hint="eastAsia"/>
                <w:sz w:val="24"/>
              </w:rPr>
              <w:t>1.53</w:t>
            </w:r>
          </w:p>
        </w:tc>
      </w:tr>
    </w:tbl>
    <w:p w14:paraId="581A77B6" w14:textId="77777777" w:rsidR="004A0975" w:rsidRDefault="004A0975">
      <w:pPr>
        <w:spacing w:line="360" w:lineRule="auto"/>
        <w:rPr>
          <w:sz w:val="24"/>
        </w:rPr>
      </w:pPr>
    </w:p>
    <w:p w14:paraId="0A1FC0D9" w14:textId="77777777" w:rsidR="004A0975" w:rsidRDefault="00000000">
      <w:pPr>
        <w:spacing w:line="360" w:lineRule="auto"/>
        <w:ind w:firstLineChars="200" w:firstLine="480"/>
        <w:rPr>
          <w:sz w:val="24"/>
        </w:rPr>
      </w:pPr>
      <w:r>
        <w:rPr>
          <w:rFonts w:hint="eastAsia"/>
          <w:sz w:val="24"/>
        </w:rPr>
        <w:t>样品</w:t>
      </w:r>
      <w:r>
        <w:rPr>
          <w:rFonts w:hint="eastAsia"/>
          <w:sz w:val="24"/>
        </w:rPr>
        <w:t>A-E</w:t>
      </w:r>
      <w:r>
        <w:rPr>
          <w:rFonts w:hint="eastAsia"/>
          <w:sz w:val="24"/>
        </w:rPr>
        <w:t>为常规浓缩液产品，其</w:t>
      </w:r>
      <w:r>
        <w:rPr>
          <w:rFonts w:hint="eastAsia"/>
          <w:sz w:val="24"/>
        </w:rPr>
        <w:t>COD/BOD</w:t>
      </w:r>
      <w:r>
        <w:rPr>
          <w:rFonts w:hint="eastAsia"/>
          <w:sz w:val="24"/>
          <w:vertAlign w:val="subscript"/>
        </w:rPr>
        <w:t>5</w:t>
      </w:r>
      <w:r>
        <w:rPr>
          <w:rFonts w:hint="eastAsia"/>
          <w:sz w:val="24"/>
        </w:rPr>
        <w:t>的比值均大于</w:t>
      </w:r>
      <w:r>
        <w:rPr>
          <w:rFonts w:hint="eastAsia"/>
          <w:sz w:val="24"/>
        </w:rPr>
        <w:t>3</w:t>
      </w:r>
      <w:r>
        <w:rPr>
          <w:rFonts w:hint="eastAsia"/>
          <w:sz w:val="24"/>
        </w:rPr>
        <w:t>，而样品</w:t>
      </w:r>
      <w:r>
        <w:rPr>
          <w:rFonts w:hint="eastAsia"/>
          <w:sz w:val="24"/>
        </w:rPr>
        <w:t>F-H</w:t>
      </w:r>
      <w:r>
        <w:rPr>
          <w:rFonts w:hint="eastAsia"/>
          <w:sz w:val="24"/>
        </w:rPr>
        <w:t>为可生物降解型产品，其</w:t>
      </w:r>
      <w:r>
        <w:rPr>
          <w:rFonts w:hint="eastAsia"/>
          <w:sz w:val="24"/>
        </w:rPr>
        <w:t>COD/BOD</w:t>
      </w:r>
      <w:r>
        <w:rPr>
          <w:rFonts w:hint="eastAsia"/>
          <w:sz w:val="24"/>
          <w:vertAlign w:val="subscript"/>
        </w:rPr>
        <w:t>5</w:t>
      </w:r>
      <w:r>
        <w:rPr>
          <w:rFonts w:hint="eastAsia"/>
          <w:sz w:val="24"/>
        </w:rPr>
        <w:t>的比值均小于</w:t>
      </w:r>
      <w:r>
        <w:rPr>
          <w:rFonts w:hint="eastAsia"/>
          <w:sz w:val="24"/>
        </w:rPr>
        <w:t>3</w:t>
      </w:r>
      <w:r>
        <w:rPr>
          <w:rFonts w:hint="eastAsia"/>
          <w:sz w:val="24"/>
        </w:rPr>
        <w:t>，表明该方法可准确表征产品的可生物降解性。</w:t>
      </w:r>
    </w:p>
    <w:p w14:paraId="53E53332" w14:textId="77777777" w:rsidR="004A0975" w:rsidRDefault="00000000">
      <w:pPr>
        <w:spacing w:line="360" w:lineRule="auto"/>
        <w:ind w:firstLine="435"/>
        <w:outlineLvl w:val="0"/>
        <w:rPr>
          <w:rFonts w:cs="Arial"/>
          <w:sz w:val="24"/>
        </w:rPr>
      </w:pPr>
      <w:r>
        <w:rPr>
          <w:rFonts w:hint="eastAsia"/>
          <w:sz w:val="24"/>
        </w:rPr>
        <w:t>5.</w:t>
      </w:r>
      <w:r>
        <w:rPr>
          <w:rFonts w:cs="Arial" w:hint="eastAsia"/>
          <w:sz w:val="24"/>
        </w:rPr>
        <w:t>“</w:t>
      </w:r>
      <w:r>
        <w:rPr>
          <w:rFonts w:hint="eastAsia"/>
          <w:sz w:val="24"/>
        </w:rPr>
        <w:t xml:space="preserve">5.3  </w:t>
      </w:r>
      <w:r>
        <w:rPr>
          <w:rFonts w:hint="eastAsia"/>
          <w:sz w:val="24"/>
        </w:rPr>
        <w:t>消泡性</w:t>
      </w:r>
      <w:r>
        <w:rPr>
          <w:rFonts w:cs="Arial" w:hint="eastAsia"/>
          <w:sz w:val="24"/>
        </w:rPr>
        <w:t>……”和“</w:t>
      </w:r>
      <w:r>
        <w:rPr>
          <w:rFonts w:hint="eastAsia"/>
          <w:sz w:val="24"/>
        </w:rPr>
        <w:t xml:space="preserve">6.4 </w:t>
      </w:r>
      <w:r>
        <w:rPr>
          <w:rFonts w:hint="eastAsia"/>
          <w:sz w:val="24"/>
        </w:rPr>
        <w:t>消泡性</w:t>
      </w:r>
      <w:r>
        <w:rPr>
          <w:rFonts w:cs="Arial" w:hint="eastAsia"/>
          <w:sz w:val="24"/>
        </w:rPr>
        <w:t>……”</w:t>
      </w:r>
    </w:p>
    <w:p w14:paraId="147EBD85" w14:textId="77777777" w:rsidR="004A0975" w:rsidRDefault="00000000">
      <w:pPr>
        <w:spacing w:line="360" w:lineRule="auto"/>
        <w:ind w:firstLine="435"/>
        <w:outlineLvl w:val="0"/>
        <w:rPr>
          <w:sz w:val="24"/>
        </w:rPr>
      </w:pPr>
      <w:r>
        <w:rPr>
          <w:rFonts w:cs="Arial" w:hint="eastAsia"/>
          <w:sz w:val="24"/>
        </w:rPr>
        <w:t>泡沫是矿井水处理的常见问题，也是环保领域密切关注的问题。为了减少泡沫多带来的不利影响，本标准提高产品消泡性的要求，与</w:t>
      </w:r>
      <w:r>
        <w:rPr>
          <w:rFonts w:cs="Arial" w:hint="eastAsia"/>
          <w:sz w:val="24"/>
        </w:rPr>
        <w:t>MT/T 76</w:t>
      </w:r>
      <w:r>
        <w:rPr>
          <w:rFonts w:cs="Arial" w:hint="eastAsia"/>
          <w:sz w:val="24"/>
        </w:rPr>
        <w:t>相比，消泡性技术指标提高逾</w:t>
      </w:r>
      <w:r>
        <w:rPr>
          <w:rFonts w:cs="Arial" w:hint="eastAsia"/>
          <w:sz w:val="24"/>
        </w:rPr>
        <w:t>5</w:t>
      </w:r>
      <w:r>
        <w:rPr>
          <w:rFonts w:cs="Arial" w:hint="eastAsia"/>
          <w:sz w:val="24"/>
        </w:rPr>
        <w:t>倍。</w:t>
      </w:r>
    </w:p>
    <w:p w14:paraId="7F2D50DC" w14:textId="77777777" w:rsidR="004A0975" w:rsidRDefault="00000000">
      <w:pPr>
        <w:spacing w:line="360" w:lineRule="auto"/>
        <w:ind w:firstLine="435"/>
        <w:outlineLvl w:val="0"/>
        <w:rPr>
          <w:rFonts w:cs="Arial"/>
          <w:sz w:val="24"/>
        </w:rPr>
      </w:pPr>
      <w:r>
        <w:rPr>
          <w:rFonts w:hint="eastAsia"/>
          <w:sz w:val="24"/>
        </w:rPr>
        <w:t>6.</w:t>
      </w:r>
      <w:r>
        <w:rPr>
          <w:rFonts w:cs="Arial" w:hint="eastAsia"/>
          <w:sz w:val="24"/>
        </w:rPr>
        <w:t>“</w:t>
      </w:r>
      <w:r>
        <w:rPr>
          <w:rFonts w:hint="eastAsia"/>
          <w:sz w:val="24"/>
        </w:rPr>
        <w:t xml:space="preserve">5.4  </w:t>
      </w:r>
      <w:r>
        <w:rPr>
          <w:rFonts w:hint="eastAsia"/>
          <w:sz w:val="24"/>
        </w:rPr>
        <w:t>氨氮含量</w:t>
      </w:r>
      <w:r>
        <w:rPr>
          <w:rFonts w:cs="Arial" w:hint="eastAsia"/>
          <w:sz w:val="24"/>
        </w:rPr>
        <w:t>……”和“</w:t>
      </w:r>
      <w:r>
        <w:rPr>
          <w:rFonts w:hint="eastAsia"/>
          <w:sz w:val="24"/>
        </w:rPr>
        <w:t xml:space="preserve">6.5  </w:t>
      </w:r>
      <w:r>
        <w:rPr>
          <w:rFonts w:hint="eastAsia"/>
          <w:sz w:val="24"/>
        </w:rPr>
        <w:t>氨氮含量</w:t>
      </w:r>
      <w:r>
        <w:rPr>
          <w:rFonts w:cs="Arial" w:hint="eastAsia"/>
          <w:sz w:val="24"/>
        </w:rPr>
        <w:t>……”</w:t>
      </w:r>
    </w:p>
    <w:p w14:paraId="22D07A05" w14:textId="77777777" w:rsidR="004A0975" w:rsidRDefault="00000000">
      <w:pPr>
        <w:spacing w:line="360" w:lineRule="auto"/>
        <w:ind w:firstLine="435"/>
        <w:outlineLvl w:val="0"/>
        <w:rPr>
          <w:rFonts w:hAnsi="宋体" w:hint="eastAsia"/>
          <w:color w:val="000000"/>
          <w:sz w:val="24"/>
        </w:rPr>
      </w:pPr>
      <w:r>
        <w:rPr>
          <w:rFonts w:hAnsi="宋体" w:hint="eastAsia"/>
          <w:color w:val="000000"/>
          <w:sz w:val="24"/>
        </w:rPr>
        <w:t>本标准综合参考</w:t>
      </w:r>
      <w:r>
        <w:rPr>
          <w:rFonts w:hAnsi="宋体" w:hint="eastAsia"/>
          <w:color w:val="000000"/>
          <w:sz w:val="24"/>
        </w:rPr>
        <w:t>GB 8978-1996</w:t>
      </w:r>
      <w:r>
        <w:rPr>
          <w:rFonts w:hAnsi="宋体" w:hint="eastAsia"/>
          <w:color w:val="000000"/>
          <w:sz w:val="24"/>
        </w:rPr>
        <w:t>《污水综合排放标准》和</w:t>
      </w:r>
      <w:r>
        <w:rPr>
          <w:rFonts w:hAnsi="宋体" w:hint="eastAsia"/>
          <w:color w:val="000000"/>
          <w:sz w:val="24"/>
        </w:rPr>
        <w:t>GB 18918-2002</w:t>
      </w:r>
      <w:r>
        <w:rPr>
          <w:rFonts w:hAnsi="宋体" w:hint="eastAsia"/>
          <w:color w:val="000000"/>
          <w:sz w:val="24"/>
        </w:rPr>
        <w:t>《城镇污水处理厂污染物排放标准》制定氨氮含量限值。各标准氨氮各级限值见表</w:t>
      </w:r>
      <w:r>
        <w:rPr>
          <w:rFonts w:hAnsi="宋体" w:hint="eastAsia"/>
          <w:color w:val="000000"/>
          <w:sz w:val="24"/>
        </w:rPr>
        <w:t>2</w:t>
      </w:r>
      <w:r>
        <w:rPr>
          <w:rFonts w:hAnsi="宋体" w:hint="eastAsia"/>
          <w:color w:val="000000"/>
          <w:sz w:val="24"/>
        </w:rPr>
        <w:t>。</w:t>
      </w:r>
    </w:p>
    <w:p w14:paraId="5011A067" w14:textId="77777777" w:rsidR="004A0975" w:rsidRDefault="00000000">
      <w:pPr>
        <w:spacing w:line="360" w:lineRule="auto"/>
        <w:ind w:firstLineChars="1300" w:firstLine="3120"/>
        <w:outlineLvl w:val="0"/>
        <w:rPr>
          <w:rFonts w:hAnsi="宋体" w:hint="eastAsia"/>
          <w:color w:val="000000"/>
          <w:sz w:val="24"/>
        </w:rPr>
      </w:pPr>
      <w:r>
        <w:rPr>
          <w:rFonts w:hAnsi="宋体" w:hint="eastAsia"/>
          <w:color w:val="000000"/>
          <w:sz w:val="24"/>
        </w:rPr>
        <w:t>表</w:t>
      </w:r>
      <w:r>
        <w:rPr>
          <w:rFonts w:hAnsi="宋体" w:hint="eastAsia"/>
          <w:color w:val="000000"/>
          <w:sz w:val="24"/>
        </w:rPr>
        <w:t xml:space="preserve">2  </w:t>
      </w:r>
      <w:r>
        <w:rPr>
          <w:rFonts w:hAnsi="宋体" w:hint="eastAsia"/>
          <w:color w:val="000000"/>
          <w:sz w:val="24"/>
        </w:rPr>
        <w:t>氨氮最高允许排放浓度</w:t>
      </w:r>
      <w:r>
        <w:rPr>
          <w:rFonts w:hAnsi="宋体" w:hint="eastAsia"/>
          <w:color w:val="000000"/>
          <w:sz w:val="24"/>
        </w:rPr>
        <w:t xml:space="preserve">            </w:t>
      </w:r>
      <w:r>
        <w:rPr>
          <w:sz w:val="24"/>
        </w:rPr>
        <w:t>mg/L</w:t>
      </w:r>
      <w:r>
        <w:rPr>
          <w:rFonts w:hAnsi="宋体" w:hint="eastAsia"/>
          <w:color w:val="000000"/>
          <w:sz w:val="24"/>
        </w:rPr>
        <w:t xml:space="preserve">  </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97"/>
        <w:gridCol w:w="2597"/>
        <w:gridCol w:w="2597"/>
      </w:tblGrid>
      <w:tr w:rsidR="004A0975" w14:paraId="004C2844" w14:textId="77777777">
        <w:tc>
          <w:tcPr>
            <w:tcW w:w="2597" w:type="dxa"/>
            <w:shd w:val="clear" w:color="auto" w:fill="auto"/>
          </w:tcPr>
          <w:p w14:paraId="46B83779" w14:textId="77777777" w:rsidR="004A0975" w:rsidRDefault="00000000">
            <w:pPr>
              <w:spacing w:line="360" w:lineRule="auto"/>
              <w:jc w:val="center"/>
              <w:outlineLvl w:val="0"/>
              <w:rPr>
                <w:rFonts w:hAnsi="宋体" w:hint="eastAsia"/>
                <w:color w:val="000000"/>
                <w:sz w:val="24"/>
              </w:rPr>
            </w:pPr>
            <w:r>
              <w:rPr>
                <w:rFonts w:hAnsi="宋体" w:hint="eastAsia"/>
                <w:color w:val="000000"/>
                <w:sz w:val="24"/>
              </w:rPr>
              <w:t>标准编号</w:t>
            </w:r>
          </w:p>
        </w:tc>
        <w:tc>
          <w:tcPr>
            <w:tcW w:w="2597" w:type="dxa"/>
            <w:shd w:val="clear" w:color="auto" w:fill="auto"/>
          </w:tcPr>
          <w:p w14:paraId="16018FEB" w14:textId="77777777" w:rsidR="004A0975" w:rsidRDefault="00000000">
            <w:pPr>
              <w:spacing w:line="360" w:lineRule="auto"/>
              <w:jc w:val="center"/>
              <w:outlineLvl w:val="0"/>
              <w:rPr>
                <w:rFonts w:hAnsi="宋体" w:hint="eastAsia"/>
                <w:color w:val="000000"/>
                <w:sz w:val="24"/>
              </w:rPr>
            </w:pPr>
            <w:r>
              <w:rPr>
                <w:rFonts w:hAnsi="宋体" w:hint="eastAsia"/>
                <w:color w:val="000000"/>
                <w:sz w:val="24"/>
              </w:rPr>
              <w:t>一级</w:t>
            </w:r>
          </w:p>
        </w:tc>
        <w:tc>
          <w:tcPr>
            <w:tcW w:w="2597" w:type="dxa"/>
            <w:shd w:val="clear" w:color="auto" w:fill="auto"/>
          </w:tcPr>
          <w:p w14:paraId="0DC8B80C" w14:textId="77777777" w:rsidR="004A0975" w:rsidRDefault="00000000">
            <w:pPr>
              <w:spacing w:line="360" w:lineRule="auto"/>
              <w:jc w:val="center"/>
              <w:outlineLvl w:val="0"/>
              <w:rPr>
                <w:rFonts w:hAnsi="宋体" w:hint="eastAsia"/>
                <w:color w:val="000000"/>
                <w:sz w:val="24"/>
              </w:rPr>
            </w:pPr>
            <w:r>
              <w:rPr>
                <w:rFonts w:hAnsi="宋体" w:hint="eastAsia"/>
                <w:color w:val="000000"/>
                <w:sz w:val="24"/>
              </w:rPr>
              <w:t>二级</w:t>
            </w:r>
          </w:p>
        </w:tc>
      </w:tr>
      <w:tr w:rsidR="004A0975" w14:paraId="2AE0B7BB" w14:textId="77777777">
        <w:tc>
          <w:tcPr>
            <w:tcW w:w="2597" w:type="dxa"/>
            <w:shd w:val="clear" w:color="auto" w:fill="auto"/>
          </w:tcPr>
          <w:p w14:paraId="1D4F738F" w14:textId="77777777" w:rsidR="004A0975" w:rsidRDefault="00000000">
            <w:pPr>
              <w:spacing w:line="360" w:lineRule="auto"/>
              <w:jc w:val="center"/>
              <w:outlineLvl w:val="0"/>
              <w:rPr>
                <w:rFonts w:hAnsi="宋体" w:hint="eastAsia"/>
                <w:color w:val="000000"/>
                <w:sz w:val="24"/>
              </w:rPr>
            </w:pPr>
            <w:r>
              <w:rPr>
                <w:rFonts w:hAnsi="宋体" w:hint="eastAsia"/>
                <w:color w:val="000000"/>
                <w:sz w:val="24"/>
              </w:rPr>
              <w:t>GB 8978</w:t>
            </w:r>
          </w:p>
        </w:tc>
        <w:tc>
          <w:tcPr>
            <w:tcW w:w="2597" w:type="dxa"/>
            <w:shd w:val="clear" w:color="auto" w:fill="auto"/>
          </w:tcPr>
          <w:p w14:paraId="79AD520F" w14:textId="77777777" w:rsidR="004A0975" w:rsidRDefault="00000000">
            <w:pPr>
              <w:spacing w:line="360" w:lineRule="auto"/>
              <w:jc w:val="center"/>
              <w:outlineLvl w:val="0"/>
              <w:rPr>
                <w:rFonts w:hAnsi="宋体" w:hint="eastAsia"/>
                <w:color w:val="000000"/>
                <w:sz w:val="24"/>
              </w:rPr>
            </w:pPr>
            <w:r>
              <w:rPr>
                <w:rFonts w:hAnsi="宋体" w:hint="eastAsia"/>
                <w:color w:val="000000"/>
                <w:sz w:val="24"/>
              </w:rPr>
              <w:t>15</w:t>
            </w:r>
          </w:p>
        </w:tc>
        <w:tc>
          <w:tcPr>
            <w:tcW w:w="2597" w:type="dxa"/>
            <w:shd w:val="clear" w:color="auto" w:fill="auto"/>
          </w:tcPr>
          <w:p w14:paraId="2A619A77" w14:textId="77777777" w:rsidR="004A0975" w:rsidRDefault="00000000">
            <w:pPr>
              <w:spacing w:line="360" w:lineRule="auto"/>
              <w:jc w:val="center"/>
              <w:outlineLvl w:val="0"/>
              <w:rPr>
                <w:rFonts w:hAnsi="宋体" w:hint="eastAsia"/>
                <w:color w:val="000000"/>
                <w:sz w:val="24"/>
              </w:rPr>
            </w:pPr>
            <w:r>
              <w:rPr>
                <w:rFonts w:hAnsi="宋体" w:hint="eastAsia"/>
                <w:color w:val="000000"/>
                <w:sz w:val="24"/>
              </w:rPr>
              <w:t>25</w:t>
            </w:r>
          </w:p>
        </w:tc>
      </w:tr>
      <w:tr w:rsidR="004A0975" w14:paraId="3CF38949" w14:textId="77777777">
        <w:tc>
          <w:tcPr>
            <w:tcW w:w="2597" w:type="dxa"/>
            <w:shd w:val="clear" w:color="auto" w:fill="auto"/>
          </w:tcPr>
          <w:p w14:paraId="658F0139" w14:textId="77777777" w:rsidR="004A0975" w:rsidRDefault="00000000">
            <w:pPr>
              <w:spacing w:line="360" w:lineRule="auto"/>
              <w:jc w:val="center"/>
              <w:outlineLvl w:val="0"/>
              <w:rPr>
                <w:rFonts w:hAnsi="宋体" w:hint="eastAsia"/>
                <w:color w:val="000000"/>
                <w:sz w:val="24"/>
              </w:rPr>
            </w:pPr>
            <w:r>
              <w:rPr>
                <w:rFonts w:hAnsi="宋体" w:hint="eastAsia"/>
                <w:color w:val="000000"/>
                <w:sz w:val="24"/>
              </w:rPr>
              <w:t>GB 18918</w:t>
            </w:r>
          </w:p>
        </w:tc>
        <w:tc>
          <w:tcPr>
            <w:tcW w:w="2597" w:type="dxa"/>
            <w:shd w:val="clear" w:color="auto" w:fill="auto"/>
          </w:tcPr>
          <w:p w14:paraId="31A99170" w14:textId="77777777" w:rsidR="004A0975" w:rsidRDefault="00000000">
            <w:pPr>
              <w:spacing w:line="360" w:lineRule="auto"/>
              <w:jc w:val="center"/>
              <w:outlineLvl w:val="0"/>
              <w:rPr>
                <w:rFonts w:hAnsi="宋体" w:hint="eastAsia"/>
                <w:color w:val="000000"/>
                <w:sz w:val="24"/>
              </w:rPr>
            </w:pPr>
            <w:r>
              <w:rPr>
                <w:rFonts w:hAnsi="宋体" w:hint="eastAsia"/>
                <w:color w:val="000000"/>
                <w:sz w:val="24"/>
              </w:rPr>
              <w:t>8</w:t>
            </w:r>
            <w:r>
              <w:rPr>
                <w:rFonts w:hAnsi="宋体" w:hint="eastAsia"/>
                <w:color w:val="000000"/>
                <w:sz w:val="24"/>
              </w:rPr>
              <w:t>（</w:t>
            </w:r>
            <w:r>
              <w:rPr>
                <w:rFonts w:hAnsi="宋体" w:hint="eastAsia"/>
                <w:color w:val="000000"/>
                <w:sz w:val="24"/>
              </w:rPr>
              <w:t>15</w:t>
            </w:r>
            <w:r>
              <w:rPr>
                <w:rFonts w:hAnsi="宋体" w:hint="eastAsia"/>
                <w:color w:val="000000"/>
                <w:sz w:val="24"/>
              </w:rPr>
              <w:t>）</w:t>
            </w:r>
          </w:p>
        </w:tc>
        <w:tc>
          <w:tcPr>
            <w:tcW w:w="2597" w:type="dxa"/>
            <w:shd w:val="clear" w:color="auto" w:fill="auto"/>
          </w:tcPr>
          <w:p w14:paraId="1A80AB45" w14:textId="77777777" w:rsidR="004A0975" w:rsidRDefault="00000000">
            <w:pPr>
              <w:spacing w:line="360" w:lineRule="auto"/>
              <w:jc w:val="center"/>
              <w:outlineLvl w:val="0"/>
              <w:rPr>
                <w:rFonts w:hAnsi="宋体" w:hint="eastAsia"/>
                <w:color w:val="000000"/>
                <w:sz w:val="24"/>
              </w:rPr>
            </w:pPr>
            <w:r>
              <w:rPr>
                <w:rFonts w:hAnsi="宋体" w:hint="eastAsia"/>
                <w:color w:val="000000"/>
                <w:sz w:val="24"/>
              </w:rPr>
              <w:t>25</w:t>
            </w:r>
            <w:r>
              <w:rPr>
                <w:rFonts w:hAnsi="宋体" w:hint="eastAsia"/>
                <w:color w:val="000000"/>
                <w:sz w:val="24"/>
              </w:rPr>
              <w:t>（</w:t>
            </w:r>
            <w:r>
              <w:rPr>
                <w:rFonts w:hAnsi="宋体" w:hint="eastAsia"/>
                <w:color w:val="000000"/>
                <w:sz w:val="24"/>
              </w:rPr>
              <w:t>30</w:t>
            </w:r>
            <w:r>
              <w:rPr>
                <w:rFonts w:hAnsi="宋体" w:hint="eastAsia"/>
                <w:color w:val="000000"/>
                <w:sz w:val="24"/>
              </w:rPr>
              <w:t>）</w:t>
            </w:r>
          </w:p>
        </w:tc>
      </w:tr>
    </w:tbl>
    <w:p w14:paraId="595A80FD" w14:textId="77777777" w:rsidR="004A0975" w:rsidRDefault="004A0975">
      <w:pPr>
        <w:spacing w:line="360" w:lineRule="auto"/>
        <w:ind w:firstLineChars="200" w:firstLine="480"/>
        <w:outlineLvl w:val="0"/>
        <w:rPr>
          <w:rFonts w:hAnsi="宋体" w:hint="eastAsia"/>
          <w:color w:val="000000"/>
          <w:sz w:val="24"/>
        </w:rPr>
      </w:pPr>
    </w:p>
    <w:p w14:paraId="75988E3B" w14:textId="77777777" w:rsidR="004A0975" w:rsidRDefault="00000000">
      <w:pPr>
        <w:spacing w:line="360" w:lineRule="auto"/>
        <w:ind w:firstLineChars="200" w:firstLine="480"/>
        <w:outlineLvl w:val="0"/>
        <w:rPr>
          <w:rFonts w:hAnsi="宋体" w:hint="eastAsia"/>
          <w:color w:val="000000"/>
          <w:sz w:val="24"/>
        </w:rPr>
      </w:pPr>
      <w:r>
        <w:rPr>
          <w:rFonts w:hAnsi="宋体" w:hint="eastAsia"/>
          <w:color w:val="000000"/>
          <w:sz w:val="24"/>
        </w:rPr>
        <w:t>考虑到环保要求日趋严格，本标准采用一级标准的要求，氨氮限值规定为</w:t>
      </w:r>
      <w:r>
        <w:rPr>
          <w:rFonts w:hAnsi="宋体" w:hint="eastAsia"/>
          <w:color w:val="000000"/>
          <w:sz w:val="24"/>
        </w:rPr>
        <w:t xml:space="preserve">8 </w:t>
      </w:r>
      <w:r>
        <w:rPr>
          <w:sz w:val="24"/>
        </w:rPr>
        <w:t>mg/L</w:t>
      </w:r>
      <w:r>
        <w:rPr>
          <w:rFonts w:hint="eastAsia"/>
          <w:sz w:val="24"/>
        </w:rPr>
        <w:t>。</w:t>
      </w:r>
    </w:p>
    <w:p w14:paraId="54BE096B" w14:textId="77777777" w:rsidR="004A0975" w:rsidRDefault="00000000">
      <w:pPr>
        <w:spacing w:line="360" w:lineRule="auto"/>
        <w:ind w:firstLine="435"/>
        <w:outlineLvl w:val="0"/>
        <w:rPr>
          <w:rFonts w:cs="Arial"/>
          <w:sz w:val="24"/>
        </w:rPr>
      </w:pPr>
      <w:r>
        <w:rPr>
          <w:rFonts w:hint="eastAsia"/>
          <w:sz w:val="24"/>
        </w:rPr>
        <w:t>7.</w:t>
      </w:r>
      <w:r>
        <w:rPr>
          <w:rFonts w:cs="Arial" w:hint="eastAsia"/>
          <w:sz w:val="24"/>
        </w:rPr>
        <w:t>“</w:t>
      </w:r>
      <w:r>
        <w:rPr>
          <w:rFonts w:hint="eastAsia"/>
          <w:sz w:val="24"/>
        </w:rPr>
        <w:t xml:space="preserve">5.5  </w:t>
      </w:r>
      <w:r>
        <w:rPr>
          <w:rFonts w:hint="eastAsia"/>
          <w:sz w:val="24"/>
        </w:rPr>
        <w:t>有害元素含量</w:t>
      </w:r>
      <w:r>
        <w:rPr>
          <w:rFonts w:cs="Arial" w:hint="eastAsia"/>
          <w:sz w:val="24"/>
        </w:rPr>
        <w:t>……”和“</w:t>
      </w:r>
      <w:r>
        <w:rPr>
          <w:rFonts w:hint="eastAsia"/>
          <w:sz w:val="24"/>
        </w:rPr>
        <w:t xml:space="preserve">6.6 </w:t>
      </w:r>
      <w:r>
        <w:rPr>
          <w:rFonts w:hint="eastAsia"/>
          <w:sz w:val="24"/>
        </w:rPr>
        <w:t>有害元素含量</w:t>
      </w:r>
      <w:r>
        <w:rPr>
          <w:rFonts w:cs="Arial" w:hint="eastAsia"/>
          <w:sz w:val="24"/>
        </w:rPr>
        <w:t>……”</w:t>
      </w:r>
    </w:p>
    <w:p w14:paraId="6B6975F7" w14:textId="77777777" w:rsidR="004A0975" w:rsidRDefault="00000000">
      <w:pPr>
        <w:spacing w:line="360" w:lineRule="auto"/>
        <w:ind w:firstLine="435"/>
        <w:outlineLvl w:val="0"/>
        <w:rPr>
          <w:sz w:val="24"/>
        </w:rPr>
      </w:pPr>
      <w:r>
        <w:rPr>
          <w:rFonts w:cs="Arial" w:hint="eastAsia"/>
          <w:sz w:val="24"/>
        </w:rPr>
        <w:t>本标准参照</w:t>
      </w:r>
      <w:r>
        <w:rPr>
          <w:rFonts w:cs="Arial" w:hint="eastAsia"/>
          <w:sz w:val="24"/>
        </w:rPr>
        <w:t>GB 20426</w:t>
      </w:r>
      <w:r>
        <w:rPr>
          <w:rFonts w:cs="Arial" w:hint="eastAsia"/>
          <w:sz w:val="24"/>
        </w:rPr>
        <w:t>《煤炭工业污染物排放标准》制定各有害元素含量限值。</w:t>
      </w:r>
    </w:p>
    <w:p w14:paraId="47F4A8A2" w14:textId="77777777" w:rsidR="004A0975" w:rsidRDefault="00000000">
      <w:pPr>
        <w:spacing w:beforeLines="50" w:before="156" w:line="360" w:lineRule="auto"/>
        <w:ind w:firstLineChars="200" w:firstLine="480"/>
        <w:rPr>
          <w:rFonts w:ascii="黑体" w:eastAsia="黑体"/>
          <w:sz w:val="24"/>
        </w:rPr>
      </w:pPr>
      <w:r>
        <w:rPr>
          <w:rFonts w:ascii="黑体" w:eastAsia="黑体" w:hint="eastAsia"/>
          <w:sz w:val="24"/>
        </w:rPr>
        <w:t>四、采用国际标准的程度及水平</w:t>
      </w:r>
    </w:p>
    <w:p w14:paraId="4005857C" w14:textId="77777777" w:rsidR="004A0975" w:rsidRDefault="00000000">
      <w:pPr>
        <w:spacing w:line="360" w:lineRule="auto"/>
        <w:ind w:firstLine="435"/>
        <w:outlineLvl w:val="0"/>
        <w:rPr>
          <w:color w:val="000000"/>
          <w:sz w:val="24"/>
        </w:rPr>
      </w:pPr>
      <w:r>
        <w:rPr>
          <w:rFonts w:hint="eastAsia"/>
          <w:color w:val="000000"/>
          <w:sz w:val="24"/>
        </w:rPr>
        <w:t>本标准未采用国际标准，无相关内容。</w:t>
      </w:r>
    </w:p>
    <w:p w14:paraId="77530455" w14:textId="77777777" w:rsidR="004A0975" w:rsidRDefault="00000000">
      <w:pPr>
        <w:spacing w:beforeLines="50" w:before="156" w:line="360" w:lineRule="auto"/>
        <w:ind w:firstLineChars="200" w:firstLine="480"/>
        <w:rPr>
          <w:rFonts w:ascii="黑体" w:eastAsia="黑体"/>
          <w:sz w:val="24"/>
        </w:rPr>
      </w:pPr>
      <w:r>
        <w:rPr>
          <w:rFonts w:ascii="黑体" w:eastAsia="黑体" w:hint="eastAsia"/>
          <w:sz w:val="24"/>
        </w:rPr>
        <w:t>五、重大分歧意见的处理经过和依据</w:t>
      </w:r>
    </w:p>
    <w:p w14:paraId="2B5BEA8E" w14:textId="77777777" w:rsidR="004A0975" w:rsidRDefault="00000000">
      <w:pPr>
        <w:spacing w:line="360" w:lineRule="auto"/>
        <w:ind w:firstLineChars="200" w:firstLine="480"/>
        <w:rPr>
          <w:sz w:val="24"/>
        </w:rPr>
      </w:pPr>
      <w:r>
        <w:rPr>
          <w:rFonts w:hint="eastAsia"/>
          <w:sz w:val="24"/>
        </w:rPr>
        <w:t>本标准在编制过程中无重大分歧意见</w:t>
      </w:r>
    </w:p>
    <w:p w14:paraId="5F01A9CE" w14:textId="77777777" w:rsidR="004A0975" w:rsidRDefault="00000000">
      <w:pPr>
        <w:spacing w:beforeLines="50" w:before="156" w:line="360" w:lineRule="auto"/>
        <w:ind w:firstLineChars="200" w:firstLine="480"/>
        <w:rPr>
          <w:rFonts w:ascii="黑体" w:eastAsia="黑体"/>
          <w:sz w:val="24"/>
        </w:rPr>
      </w:pPr>
      <w:r>
        <w:rPr>
          <w:rFonts w:ascii="黑体" w:eastAsia="黑体" w:hint="eastAsia"/>
          <w:sz w:val="24"/>
        </w:rPr>
        <w:lastRenderedPageBreak/>
        <w:t>六、贯彻中国煤炭学会标准的要求和措施建议（包括组织措施、技术措施、过渡办法等内容）</w:t>
      </w:r>
    </w:p>
    <w:p w14:paraId="1713F20C" w14:textId="77777777" w:rsidR="004A0975" w:rsidRDefault="00000000">
      <w:pPr>
        <w:spacing w:line="360" w:lineRule="auto"/>
        <w:ind w:leftChars="-12" w:left="-25" w:firstLineChars="200" w:firstLine="480"/>
        <w:rPr>
          <w:sz w:val="24"/>
        </w:rPr>
      </w:pPr>
      <w:r>
        <w:rPr>
          <w:rFonts w:hint="eastAsia"/>
          <w:sz w:val="24"/>
        </w:rPr>
        <w:t>组织措施：煤矿智能化创新联盟应鼓励智能化煤矿创建单位采用中国煤炭学会有关标准实施煤矿智能化建设，把煤炭学会标准规定的技术要求作为智能化煤矿验收依据。煤炭学会标准起草单位应积极参加煤矿智能化创新联盟组织的标准宣贯活动，推动标准实施。</w:t>
      </w:r>
    </w:p>
    <w:p w14:paraId="7F20BEBD" w14:textId="77777777" w:rsidR="004A0975" w:rsidRDefault="00000000">
      <w:pPr>
        <w:spacing w:line="360" w:lineRule="auto"/>
        <w:ind w:leftChars="-12" w:left="-25" w:firstLineChars="200" w:firstLine="480"/>
        <w:rPr>
          <w:sz w:val="24"/>
        </w:rPr>
      </w:pPr>
      <w:r>
        <w:rPr>
          <w:rFonts w:hint="eastAsia"/>
          <w:sz w:val="24"/>
        </w:rPr>
        <w:t>技术措施：智能化煤矿创建单位应积极响应煤炭学会标准的技术要求，配备足够的设施设备，培训技术人员，按煤炭学会标准规定的技术要求实施煤矿智能化建设。</w:t>
      </w:r>
    </w:p>
    <w:p w14:paraId="7D4C6BA3" w14:textId="77777777" w:rsidR="004A0975" w:rsidRDefault="00000000">
      <w:pPr>
        <w:spacing w:line="360" w:lineRule="auto"/>
        <w:ind w:leftChars="-12" w:left="-25" w:firstLineChars="200" w:firstLine="480"/>
        <w:rPr>
          <w:sz w:val="24"/>
        </w:rPr>
      </w:pPr>
      <w:r>
        <w:rPr>
          <w:rFonts w:hint="eastAsia"/>
          <w:sz w:val="24"/>
        </w:rPr>
        <w:t>过渡办法：将煤炭学会标准发布后和实施前之间的时间作为过渡期。在过渡期内，应从现有煤矿技术现状向煤矿智能化建设要求转变，认真落实煤矿智能化创新联盟组织起草的各项煤炭学会标准，按标准要求配备设施设备、培训人员，积极向智能化煤矿过渡。</w:t>
      </w:r>
    </w:p>
    <w:p w14:paraId="3752F2B3" w14:textId="77777777" w:rsidR="004A0975" w:rsidRDefault="00000000">
      <w:pPr>
        <w:spacing w:beforeLines="50" w:before="156" w:line="360" w:lineRule="auto"/>
        <w:ind w:firstLineChars="200" w:firstLine="480"/>
        <w:rPr>
          <w:rFonts w:ascii="黑体" w:eastAsia="黑体"/>
          <w:sz w:val="24"/>
        </w:rPr>
      </w:pPr>
      <w:r>
        <w:rPr>
          <w:rFonts w:ascii="黑体" w:eastAsia="黑体" w:hint="eastAsia"/>
          <w:sz w:val="24"/>
        </w:rPr>
        <w:t>七、其他应予说明的事项</w:t>
      </w:r>
    </w:p>
    <w:p w14:paraId="05E62918" w14:textId="77777777" w:rsidR="004A0975" w:rsidRDefault="00000000">
      <w:pPr>
        <w:spacing w:line="360" w:lineRule="auto"/>
        <w:ind w:firstLineChars="200" w:firstLine="480"/>
        <w:rPr>
          <w:sz w:val="24"/>
        </w:rPr>
      </w:pPr>
      <w:r>
        <w:rPr>
          <w:rFonts w:hint="eastAsia"/>
          <w:sz w:val="24"/>
        </w:rPr>
        <w:t>无。</w:t>
      </w:r>
    </w:p>
    <w:sectPr w:rsidR="004A0975">
      <w:footerReference w:type="default" r:id="rId7"/>
      <w:pgSz w:w="11906" w:h="16838"/>
      <w:pgMar w:top="1440" w:right="1474" w:bottom="1440" w:left="1588" w:header="851" w:footer="77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EC2AADD" w14:textId="77777777" w:rsidR="00347506" w:rsidRDefault="00347506">
      <w:r>
        <w:separator/>
      </w:r>
    </w:p>
  </w:endnote>
  <w:endnote w:type="continuationSeparator" w:id="0">
    <w:p w14:paraId="46B0F876" w14:textId="77777777" w:rsidR="00347506" w:rsidRDefault="003475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57BD7D2" w14:textId="77777777" w:rsidR="004A0975" w:rsidRDefault="00000000">
    <w:pPr>
      <w:pStyle w:val="a6"/>
      <w:jc w:val="center"/>
    </w:pPr>
    <w:r>
      <w:rPr>
        <w:lang w:val="zh-CN"/>
      </w:rPr>
      <w:t xml:space="preserve"> </w:t>
    </w:r>
    <w:r>
      <w:rPr>
        <w:b/>
        <w:bCs/>
        <w:sz w:val="24"/>
        <w:szCs w:val="24"/>
      </w:rPr>
      <w:fldChar w:fldCharType="begin"/>
    </w:r>
    <w:r>
      <w:rPr>
        <w:b/>
        <w:bCs/>
      </w:rPr>
      <w:instrText>PAGE</w:instrText>
    </w:r>
    <w:r>
      <w:rPr>
        <w:b/>
        <w:bCs/>
        <w:sz w:val="24"/>
        <w:szCs w:val="24"/>
      </w:rPr>
      <w:fldChar w:fldCharType="separate"/>
    </w:r>
    <w:r>
      <w:rPr>
        <w:b/>
        <w:bCs/>
      </w:rPr>
      <w:t>7</w:t>
    </w:r>
    <w:r>
      <w:rPr>
        <w:b/>
        <w:bCs/>
        <w:sz w:val="24"/>
        <w:szCs w:val="24"/>
      </w:rPr>
      <w:fldChar w:fldCharType="end"/>
    </w:r>
    <w:r>
      <w:rPr>
        <w:lang w:val="zh-CN"/>
      </w:rPr>
      <w:t xml:space="preserve"> / </w:t>
    </w:r>
    <w:r>
      <w:rPr>
        <w:b/>
        <w:bCs/>
        <w:sz w:val="24"/>
        <w:szCs w:val="24"/>
      </w:rPr>
      <w:fldChar w:fldCharType="begin"/>
    </w:r>
    <w:r>
      <w:rPr>
        <w:b/>
        <w:bCs/>
      </w:rPr>
      <w:instrText>NUMPAGES</w:instrText>
    </w:r>
    <w:r>
      <w:rPr>
        <w:b/>
        <w:bCs/>
        <w:sz w:val="24"/>
        <w:szCs w:val="24"/>
      </w:rPr>
      <w:fldChar w:fldCharType="separate"/>
    </w:r>
    <w:r>
      <w:rPr>
        <w:b/>
        <w:bCs/>
      </w:rPr>
      <w:t>9</w:t>
    </w:r>
    <w:r>
      <w:rPr>
        <w:b/>
        <w:bCs/>
        <w:sz w:val="24"/>
        <w:szCs w:val="24"/>
      </w:rPr>
      <w:fldChar w:fldCharType="end"/>
    </w:r>
  </w:p>
  <w:p w14:paraId="0B276079" w14:textId="77777777" w:rsidR="004A0975" w:rsidRDefault="004A0975">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A7B601D" w14:textId="77777777" w:rsidR="00347506" w:rsidRDefault="00347506">
      <w:r>
        <w:separator/>
      </w:r>
    </w:p>
  </w:footnote>
  <w:footnote w:type="continuationSeparator" w:id="0">
    <w:p w14:paraId="1C0C5B00" w14:textId="77777777" w:rsidR="00347506" w:rsidRDefault="0034750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138A6C"/>
    <w:multiLevelType w:val="singleLevel"/>
    <w:tmpl w:val="06138A6C"/>
    <w:lvl w:ilvl="0">
      <w:start w:val="1"/>
      <w:numFmt w:val="decimal"/>
      <w:suff w:val="nothing"/>
      <w:lvlText w:val="%1、"/>
      <w:lvlJc w:val="left"/>
    </w:lvl>
  </w:abstractNum>
  <w:num w:numId="1" w16cid:durableId="169588217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VerticalSpacing w:val="156"/>
  <w:noPunctuationKerning/>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YWQ0MzFmMzhmYWViMjBmYjNiZGM4MTJhYTEzMGU2NGQifQ=="/>
  </w:docVars>
  <w:rsids>
    <w:rsidRoot w:val="00B218C4"/>
    <w:rsid w:val="00000D6D"/>
    <w:rsid w:val="00015DC0"/>
    <w:rsid w:val="00035BC0"/>
    <w:rsid w:val="00042D22"/>
    <w:rsid w:val="00075A08"/>
    <w:rsid w:val="000826D4"/>
    <w:rsid w:val="00082996"/>
    <w:rsid w:val="00090ADE"/>
    <w:rsid w:val="00093C71"/>
    <w:rsid w:val="00094D3D"/>
    <w:rsid w:val="00095E95"/>
    <w:rsid w:val="000A79E6"/>
    <w:rsid w:val="000B1BDE"/>
    <w:rsid w:val="000B5364"/>
    <w:rsid w:val="000B71BE"/>
    <w:rsid w:val="000B7C48"/>
    <w:rsid w:val="000C1BF7"/>
    <w:rsid w:val="000E3C5E"/>
    <w:rsid w:val="00122758"/>
    <w:rsid w:val="00126BEA"/>
    <w:rsid w:val="0013351C"/>
    <w:rsid w:val="0015737C"/>
    <w:rsid w:val="00162BD3"/>
    <w:rsid w:val="00165E8A"/>
    <w:rsid w:val="00166CE9"/>
    <w:rsid w:val="00171158"/>
    <w:rsid w:val="00171D90"/>
    <w:rsid w:val="00180F64"/>
    <w:rsid w:val="0018533F"/>
    <w:rsid w:val="001A49DD"/>
    <w:rsid w:val="001B19DA"/>
    <w:rsid w:val="001C7426"/>
    <w:rsid w:val="001E4F51"/>
    <w:rsid w:val="001E551E"/>
    <w:rsid w:val="002024AC"/>
    <w:rsid w:val="00241484"/>
    <w:rsid w:val="00253563"/>
    <w:rsid w:val="00263CA3"/>
    <w:rsid w:val="002706BA"/>
    <w:rsid w:val="002770AF"/>
    <w:rsid w:val="00292059"/>
    <w:rsid w:val="002A7772"/>
    <w:rsid w:val="002B1FD9"/>
    <w:rsid w:val="002B28AD"/>
    <w:rsid w:val="002C16D8"/>
    <w:rsid w:val="002D50ED"/>
    <w:rsid w:val="002D672D"/>
    <w:rsid w:val="002D78A8"/>
    <w:rsid w:val="00320546"/>
    <w:rsid w:val="0032079D"/>
    <w:rsid w:val="003208F1"/>
    <w:rsid w:val="00327E5D"/>
    <w:rsid w:val="00334A01"/>
    <w:rsid w:val="00347506"/>
    <w:rsid w:val="00360A56"/>
    <w:rsid w:val="00363EE8"/>
    <w:rsid w:val="003877E4"/>
    <w:rsid w:val="003904E0"/>
    <w:rsid w:val="00396633"/>
    <w:rsid w:val="003B081E"/>
    <w:rsid w:val="003B0F12"/>
    <w:rsid w:val="003B0F2E"/>
    <w:rsid w:val="003C63C1"/>
    <w:rsid w:val="003C6E2E"/>
    <w:rsid w:val="003C7E00"/>
    <w:rsid w:val="003D09F2"/>
    <w:rsid w:val="003F4D62"/>
    <w:rsid w:val="00404918"/>
    <w:rsid w:val="0041511F"/>
    <w:rsid w:val="00416E6A"/>
    <w:rsid w:val="00426267"/>
    <w:rsid w:val="004369FF"/>
    <w:rsid w:val="00455BA1"/>
    <w:rsid w:val="004A0975"/>
    <w:rsid w:val="004C0EB5"/>
    <w:rsid w:val="004C6954"/>
    <w:rsid w:val="004D3E5F"/>
    <w:rsid w:val="004F429B"/>
    <w:rsid w:val="004F7370"/>
    <w:rsid w:val="0050382A"/>
    <w:rsid w:val="005269D5"/>
    <w:rsid w:val="00540101"/>
    <w:rsid w:val="005439A3"/>
    <w:rsid w:val="00556EBD"/>
    <w:rsid w:val="00561F44"/>
    <w:rsid w:val="0058290A"/>
    <w:rsid w:val="005925BB"/>
    <w:rsid w:val="00596686"/>
    <w:rsid w:val="00596B3D"/>
    <w:rsid w:val="005A7546"/>
    <w:rsid w:val="005B5986"/>
    <w:rsid w:val="005C1E42"/>
    <w:rsid w:val="005E2D8C"/>
    <w:rsid w:val="005E6ACF"/>
    <w:rsid w:val="00600B3A"/>
    <w:rsid w:val="00612784"/>
    <w:rsid w:val="0062316D"/>
    <w:rsid w:val="00644FC8"/>
    <w:rsid w:val="00664E03"/>
    <w:rsid w:val="00675224"/>
    <w:rsid w:val="006A14A5"/>
    <w:rsid w:val="006C1817"/>
    <w:rsid w:val="006C3FE0"/>
    <w:rsid w:val="006C6566"/>
    <w:rsid w:val="006C66A8"/>
    <w:rsid w:val="006F1B2D"/>
    <w:rsid w:val="007116CF"/>
    <w:rsid w:val="0072225B"/>
    <w:rsid w:val="007716C4"/>
    <w:rsid w:val="007B09D0"/>
    <w:rsid w:val="007B357D"/>
    <w:rsid w:val="007E4130"/>
    <w:rsid w:val="007E54CA"/>
    <w:rsid w:val="00802858"/>
    <w:rsid w:val="00813C96"/>
    <w:rsid w:val="00821FE8"/>
    <w:rsid w:val="00834096"/>
    <w:rsid w:val="00844893"/>
    <w:rsid w:val="00864DF7"/>
    <w:rsid w:val="00882DCF"/>
    <w:rsid w:val="008B7065"/>
    <w:rsid w:val="008B7D0D"/>
    <w:rsid w:val="008C001F"/>
    <w:rsid w:val="008E32A5"/>
    <w:rsid w:val="008E41DE"/>
    <w:rsid w:val="008F2C09"/>
    <w:rsid w:val="008F3309"/>
    <w:rsid w:val="008F620A"/>
    <w:rsid w:val="0090011D"/>
    <w:rsid w:val="00900E22"/>
    <w:rsid w:val="009039DF"/>
    <w:rsid w:val="00920341"/>
    <w:rsid w:val="009424FD"/>
    <w:rsid w:val="009465DD"/>
    <w:rsid w:val="00970311"/>
    <w:rsid w:val="009857BE"/>
    <w:rsid w:val="00987754"/>
    <w:rsid w:val="00995916"/>
    <w:rsid w:val="009A5804"/>
    <w:rsid w:val="009C36AD"/>
    <w:rsid w:val="009C7FD4"/>
    <w:rsid w:val="009D525A"/>
    <w:rsid w:val="009E4B4A"/>
    <w:rsid w:val="009F175C"/>
    <w:rsid w:val="00A018C0"/>
    <w:rsid w:val="00A12880"/>
    <w:rsid w:val="00A408BA"/>
    <w:rsid w:val="00A6778D"/>
    <w:rsid w:val="00A726CD"/>
    <w:rsid w:val="00A83E9C"/>
    <w:rsid w:val="00B01F71"/>
    <w:rsid w:val="00B10533"/>
    <w:rsid w:val="00B148C1"/>
    <w:rsid w:val="00B218C4"/>
    <w:rsid w:val="00B22A6F"/>
    <w:rsid w:val="00B73AD8"/>
    <w:rsid w:val="00BA43A0"/>
    <w:rsid w:val="00BA45C3"/>
    <w:rsid w:val="00BC30B3"/>
    <w:rsid w:val="00BE58BC"/>
    <w:rsid w:val="00C031B6"/>
    <w:rsid w:val="00C10C05"/>
    <w:rsid w:val="00C11375"/>
    <w:rsid w:val="00C413AB"/>
    <w:rsid w:val="00C631D4"/>
    <w:rsid w:val="00C761BC"/>
    <w:rsid w:val="00CC0E3D"/>
    <w:rsid w:val="00CD2B6F"/>
    <w:rsid w:val="00D04F4E"/>
    <w:rsid w:val="00D14993"/>
    <w:rsid w:val="00D24E0B"/>
    <w:rsid w:val="00D358F7"/>
    <w:rsid w:val="00D41A5A"/>
    <w:rsid w:val="00D62872"/>
    <w:rsid w:val="00D730D2"/>
    <w:rsid w:val="00D74FA8"/>
    <w:rsid w:val="00D77BC7"/>
    <w:rsid w:val="00D82036"/>
    <w:rsid w:val="00D92E3A"/>
    <w:rsid w:val="00DB4B6C"/>
    <w:rsid w:val="00DD632F"/>
    <w:rsid w:val="00DE7C16"/>
    <w:rsid w:val="00DF6566"/>
    <w:rsid w:val="00E27E71"/>
    <w:rsid w:val="00E34406"/>
    <w:rsid w:val="00E45E24"/>
    <w:rsid w:val="00E52ED4"/>
    <w:rsid w:val="00E633D8"/>
    <w:rsid w:val="00E646EF"/>
    <w:rsid w:val="00E66B4E"/>
    <w:rsid w:val="00EA1A65"/>
    <w:rsid w:val="00EB3886"/>
    <w:rsid w:val="00EB6857"/>
    <w:rsid w:val="00EC132D"/>
    <w:rsid w:val="00EC22C4"/>
    <w:rsid w:val="00EC63A8"/>
    <w:rsid w:val="00EE2157"/>
    <w:rsid w:val="00EF5961"/>
    <w:rsid w:val="00F037C6"/>
    <w:rsid w:val="00F23FE8"/>
    <w:rsid w:val="00F34617"/>
    <w:rsid w:val="00F40D1E"/>
    <w:rsid w:val="00F46A3C"/>
    <w:rsid w:val="00F65870"/>
    <w:rsid w:val="00F66E06"/>
    <w:rsid w:val="00F6759F"/>
    <w:rsid w:val="00F74AF2"/>
    <w:rsid w:val="00F93966"/>
    <w:rsid w:val="00FA5E19"/>
    <w:rsid w:val="00FA62BD"/>
    <w:rsid w:val="00FB1B31"/>
    <w:rsid w:val="00FD5C9F"/>
    <w:rsid w:val="00FF7AF8"/>
    <w:rsid w:val="198C19F9"/>
    <w:rsid w:val="1B2A0EB7"/>
    <w:rsid w:val="1B2D30F7"/>
    <w:rsid w:val="1DF55ED1"/>
    <w:rsid w:val="2188552B"/>
    <w:rsid w:val="22D13477"/>
    <w:rsid w:val="31F8639A"/>
    <w:rsid w:val="3EF137C2"/>
    <w:rsid w:val="40EC3D52"/>
    <w:rsid w:val="41A424B8"/>
    <w:rsid w:val="42CD6DEA"/>
    <w:rsid w:val="43726F4F"/>
    <w:rsid w:val="43B35F64"/>
    <w:rsid w:val="67310E46"/>
    <w:rsid w:val="709B37D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997ECA1"/>
  <w15:docId w15:val="{D118BD61-A2CA-4AAC-A39E-A2400B739A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qFormat="1"/>
    <w:lsdException w:name="caption" w:semiHidden="1" w:unhideWhenUsed="1" w:qFormat="1"/>
    <w:lsdException w:name="Title" w:qFormat="1"/>
    <w:lsdException w:name="Default Paragraph Font" w:semiHidden="1"/>
    <w:lsdException w:name="Subtitle" w:qFormat="1"/>
    <w:lsdException w:name="Strong" w:uiPriority="22" w:qFormat="1"/>
    <w:lsdException w:name="Emphasis" w:qFormat="1"/>
    <w:lsdException w:name="HTML Top of Form" w:semiHidden="1" w:uiPriority="99" w:unhideWhenUsed="1"/>
    <w:lsdException w:name="HTML Bottom of Form" w:semiHidden="1" w:uiPriority="99" w:unhideWhenUsed="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spacing w:afterLines="100" w:after="312"/>
      <w:ind w:firstLineChars="200" w:firstLine="560"/>
    </w:pPr>
    <w:rPr>
      <w:rFonts w:ascii="宋体" w:hAnsi="宋体"/>
      <w:sz w:val="28"/>
    </w:rPr>
  </w:style>
  <w:style w:type="paragraph" w:styleId="a4">
    <w:name w:val="Balloon Text"/>
    <w:basedOn w:val="a"/>
    <w:link w:val="a5"/>
    <w:qFormat/>
    <w:rPr>
      <w:sz w:val="18"/>
      <w:szCs w:val="18"/>
    </w:rPr>
  </w:style>
  <w:style w:type="paragraph" w:styleId="a6">
    <w:name w:val="footer"/>
    <w:basedOn w:val="a"/>
    <w:link w:val="a7"/>
    <w:uiPriority w:val="99"/>
    <w:qFormat/>
    <w:pPr>
      <w:tabs>
        <w:tab w:val="center" w:pos="4153"/>
        <w:tab w:val="right" w:pos="8306"/>
      </w:tabs>
      <w:snapToGrid w:val="0"/>
      <w:jc w:val="left"/>
    </w:pPr>
    <w:rPr>
      <w:sz w:val="18"/>
      <w:szCs w:val="18"/>
    </w:rPr>
  </w:style>
  <w:style w:type="paragraph" w:styleId="a8">
    <w:name w:val="header"/>
    <w:basedOn w:val="a"/>
    <w:link w:val="a9"/>
    <w:uiPriority w:val="99"/>
    <w:pPr>
      <w:pBdr>
        <w:bottom w:val="single" w:sz="6" w:space="1" w:color="auto"/>
      </w:pBdr>
      <w:tabs>
        <w:tab w:val="center" w:pos="4153"/>
        <w:tab w:val="right" w:pos="8306"/>
      </w:tabs>
      <w:snapToGrid w:val="0"/>
      <w:jc w:val="center"/>
    </w:pPr>
    <w:rPr>
      <w:sz w:val="18"/>
      <w:szCs w:val="18"/>
    </w:rPr>
  </w:style>
  <w:style w:type="table" w:styleId="aa">
    <w:name w:val="Table Grid"/>
    <w:basedOn w:val="a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Strong"/>
    <w:uiPriority w:val="22"/>
    <w:qFormat/>
    <w:rPr>
      <w:b/>
      <w:bCs/>
    </w:rPr>
  </w:style>
  <w:style w:type="paragraph" w:customStyle="1" w:styleId="ac">
    <w:name w:val="段"/>
    <w:link w:val="Char"/>
    <w:qFormat/>
    <w:pPr>
      <w:autoSpaceDE w:val="0"/>
      <w:autoSpaceDN w:val="0"/>
      <w:ind w:firstLineChars="200" w:firstLine="200"/>
      <w:jc w:val="both"/>
    </w:pPr>
    <w:rPr>
      <w:rFonts w:ascii="宋体"/>
      <w:sz w:val="21"/>
    </w:rPr>
  </w:style>
  <w:style w:type="character" w:customStyle="1" w:styleId="a9">
    <w:name w:val="页眉 字符"/>
    <w:link w:val="a8"/>
    <w:uiPriority w:val="99"/>
    <w:qFormat/>
    <w:rPr>
      <w:kern w:val="2"/>
      <w:sz w:val="18"/>
      <w:szCs w:val="18"/>
    </w:rPr>
  </w:style>
  <w:style w:type="character" w:customStyle="1" w:styleId="a7">
    <w:name w:val="页脚 字符"/>
    <w:link w:val="a6"/>
    <w:uiPriority w:val="99"/>
    <w:qFormat/>
    <w:rPr>
      <w:kern w:val="2"/>
      <w:sz w:val="18"/>
      <w:szCs w:val="18"/>
    </w:rPr>
  </w:style>
  <w:style w:type="paragraph" w:customStyle="1" w:styleId="Style2">
    <w:name w:val="_Style 2"/>
    <w:basedOn w:val="a"/>
    <w:qFormat/>
    <w:pPr>
      <w:spacing w:line="360" w:lineRule="auto"/>
    </w:pPr>
  </w:style>
  <w:style w:type="character" w:customStyle="1" w:styleId="Char">
    <w:name w:val="段 Char"/>
    <w:link w:val="ac"/>
    <w:qFormat/>
    <w:rPr>
      <w:rFonts w:ascii="宋体"/>
      <w:sz w:val="21"/>
    </w:rPr>
  </w:style>
  <w:style w:type="character" w:customStyle="1" w:styleId="a5">
    <w:name w:val="批注框文本 字符"/>
    <w:link w:val="a4"/>
    <w:qFormat/>
    <w:rPr>
      <w:kern w:val="2"/>
      <w:sz w:val="18"/>
      <w:szCs w:val="18"/>
    </w:rPr>
  </w:style>
  <w:style w:type="paragraph" w:customStyle="1" w:styleId="ad">
    <w:name w:val="标准书眉_奇数页"/>
    <w:next w:val="a"/>
    <w:qFormat/>
    <w:pPr>
      <w:tabs>
        <w:tab w:val="center" w:pos="4154"/>
        <w:tab w:val="right" w:pos="8306"/>
      </w:tabs>
      <w:spacing w:after="220"/>
      <w:jc w:val="right"/>
    </w:pPr>
    <w:rPr>
      <w:rFonts w:ascii="黑体" w:eastAsia="黑体"/>
      <w:sz w:val="21"/>
      <w:szCs w:val="21"/>
    </w:rPr>
  </w:style>
  <w:style w:type="paragraph" w:customStyle="1" w:styleId="ae">
    <w:name w:val="标准书脚_奇数页"/>
    <w:autoRedefine/>
    <w:qFormat/>
    <w:pPr>
      <w:spacing w:before="120"/>
      <w:ind w:right="198"/>
      <w:jc w:val="right"/>
    </w:pPr>
    <w:rPr>
      <w:rFonts w:ascii="宋体"/>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53</TotalTime>
  <Pages>5</Pages>
  <Words>393</Words>
  <Characters>2246</Characters>
  <Application>Microsoft Office Word</Application>
  <DocSecurity>0</DocSecurity>
  <Lines>18</Lines>
  <Paragraphs>5</Paragraphs>
  <ScaleCrop>false</ScaleCrop>
  <Company>Lenovo (Beijing) Limited</Company>
  <LinksUpToDate>false</LinksUpToDate>
  <CharactersWithSpaces>2634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液压支架用乳化油、浓缩液及其高含水液压液</dc:title>
  <dc:creator>Lenovo User</dc:creator>
  <cp:lastModifiedBy>11 11</cp:lastModifiedBy>
  <cp:revision>5</cp:revision>
  <cp:lastPrinted>2021-11-18T01:04:00Z</cp:lastPrinted>
  <dcterms:created xsi:type="dcterms:W3CDTF">2022-01-26T02:28:00Z</dcterms:created>
  <dcterms:modified xsi:type="dcterms:W3CDTF">2024-08-03T04:56:00Z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2052-12.1.0.17147</vt:lpwstr>
  </property>
  <property fmtid="{D5CDD505-2E9C-101B-9397-08002B2CF9AE}" pid="3" name="ICV">
    <vt:lpwstr>368A1ADE61A64A6999FF7F9F661CD27F_13</vt:lpwstr>
  </property>
</Properties>
</file>