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20C" w:rsidRPr="00D00349" w:rsidRDefault="00D243C4" w:rsidP="00D00349">
      <w:pPr>
        <w:jc w:val="center"/>
        <w:rPr>
          <w:sz w:val="28"/>
          <w:szCs w:val="28"/>
        </w:rPr>
      </w:pPr>
      <w:r w:rsidRPr="00D243C4">
        <w:rPr>
          <w:rFonts w:hint="eastAsia"/>
          <w:sz w:val="28"/>
          <w:szCs w:val="28"/>
        </w:rPr>
        <w:t>关闭矿井沉陷灾害监测与评价标准</w:t>
      </w:r>
      <w:r>
        <w:rPr>
          <w:rFonts w:hint="eastAsia"/>
          <w:sz w:val="28"/>
          <w:szCs w:val="28"/>
        </w:rPr>
        <w:t>编制说明</w:t>
      </w:r>
    </w:p>
    <w:p w:rsidR="00D67DB0" w:rsidRPr="00A054CB" w:rsidRDefault="00D67DB0" w:rsidP="00D67DB0">
      <w:pPr>
        <w:rPr>
          <w:b/>
          <w:sz w:val="28"/>
          <w:szCs w:val="28"/>
        </w:rPr>
      </w:pPr>
      <w:r w:rsidRPr="00A054CB">
        <w:rPr>
          <w:rFonts w:hint="eastAsia"/>
          <w:b/>
          <w:sz w:val="28"/>
          <w:szCs w:val="28"/>
        </w:rPr>
        <w:t>一、工作简况</w:t>
      </w:r>
    </w:p>
    <w:p w:rsidR="00D67DB0" w:rsidRPr="000A2BB8" w:rsidRDefault="00D67DB0" w:rsidP="000A2BB8">
      <w:pPr>
        <w:spacing w:line="360" w:lineRule="auto"/>
        <w:ind w:firstLineChars="202" w:firstLine="485"/>
        <w:rPr>
          <w:sz w:val="24"/>
          <w:szCs w:val="24"/>
        </w:rPr>
      </w:pPr>
      <w:r w:rsidRPr="000A2BB8">
        <w:rPr>
          <w:rFonts w:hint="eastAsia"/>
          <w:sz w:val="24"/>
          <w:szCs w:val="24"/>
        </w:rPr>
        <w:t>包括任务来源、协作单位、主要工作过程、中国煤炭学会标准主要起草人及其所做的工作等；</w:t>
      </w:r>
    </w:p>
    <w:p w:rsidR="00D67DB0" w:rsidRDefault="008B2E33" w:rsidP="008B2E33">
      <w:pPr>
        <w:spacing w:line="360" w:lineRule="auto"/>
        <w:ind w:firstLineChars="177" w:firstLine="425"/>
        <w:rPr>
          <w:sz w:val="24"/>
          <w:szCs w:val="24"/>
        </w:rPr>
      </w:pPr>
      <w:r w:rsidRPr="00976D19">
        <w:rPr>
          <w:rFonts w:asciiTheme="minorEastAsia" w:hAnsiTheme="minorEastAsia" w:hint="eastAsia"/>
          <w:sz w:val="24"/>
          <w:szCs w:val="24"/>
        </w:rPr>
        <w:t>我国关闭矿井量大面广</w:t>
      </w:r>
      <w:r>
        <w:rPr>
          <w:rFonts w:asciiTheme="minorEastAsia" w:hAnsiTheme="minorEastAsia" w:hint="eastAsia"/>
          <w:sz w:val="24"/>
          <w:szCs w:val="24"/>
        </w:rPr>
        <w:t>，矿井关闭后停止排水，地下水位上升，使采动破裂岩体强度弱化、孔隙水压力增大，在地应力、采动附加应力、地下水等作用下重新移动和变形，导致覆岩与地表二次沉降或上升，使位于关闭矿井上方及周边的建构筑物损害、边坡、条带煤柱失稳，采动地裂缝“活化”等，诱发严重的沉陷灾害，同时，随着我国社会经济建设和矿业城市扩张，不得不将各类建构筑物、交通电力通讯等基础设施兴建在踩空塌陷区上方，井工开采矿井关闭后出现的次生沉陷（沉降或上升）将威胁这些建构筑物的安全，而我国目前尚无关闭井工矿沉陷灾害监测与评价的标准，为此，</w:t>
      </w:r>
      <w:r w:rsidR="00C26EB3">
        <w:rPr>
          <w:rFonts w:hint="eastAsia"/>
          <w:sz w:val="24"/>
          <w:szCs w:val="24"/>
        </w:rPr>
        <w:t>2019</w:t>
      </w:r>
      <w:r w:rsidR="00C26EB3">
        <w:rPr>
          <w:rFonts w:hint="eastAsia"/>
          <w:sz w:val="24"/>
          <w:szCs w:val="24"/>
        </w:rPr>
        <w:t>年</w:t>
      </w:r>
      <w:r w:rsidR="00C26EB3">
        <w:rPr>
          <w:rFonts w:hint="eastAsia"/>
          <w:sz w:val="24"/>
          <w:szCs w:val="24"/>
        </w:rPr>
        <w:t>8</w:t>
      </w:r>
      <w:r w:rsidR="00C26EB3">
        <w:rPr>
          <w:rFonts w:hint="eastAsia"/>
          <w:sz w:val="24"/>
          <w:szCs w:val="24"/>
        </w:rPr>
        <w:t>月中国煤炭学会煤矿开采损害技术鉴定委员会在宁波开会确定编写</w:t>
      </w:r>
      <w:r w:rsidR="00C26EB3" w:rsidRPr="000A2BB8">
        <w:rPr>
          <w:rFonts w:hint="eastAsia"/>
          <w:sz w:val="24"/>
          <w:szCs w:val="24"/>
        </w:rPr>
        <w:t>《关闭</w:t>
      </w:r>
      <w:r>
        <w:rPr>
          <w:rFonts w:hint="eastAsia"/>
          <w:sz w:val="24"/>
          <w:szCs w:val="24"/>
        </w:rPr>
        <w:t>井工矿</w:t>
      </w:r>
      <w:r w:rsidR="00C26EB3" w:rsidRPr="000A2BB8">
        <w:rPr>
          <w:rFonts w:hint="eastAsia"/>
          <w:sz w:val="24"/>
          <w:szCs w:val="24"/>
        </w:rPr>
        <w:t>沉陷灾害监测与评价》标准</w:t>
      </w:r>
      <w:r w:rsidR="00C26EB3">
        <w:rPr>
          <w:rFonts w:hint="eastAsia"/>
          <w:sz w:val="24"/>
          <w:szCs w:val="24"/>
        </w:rPr>
        <w:t>，并向中国煤炭学会提出</w:t>
      </w:r>
      <w:r>
        <w:rPr>
          <w:rFonts w:hint="eastAsia"/>
          <w:sz w:val="24"/>
          <w:szCs w:val="24"/>
        </w:rPr>
        <w:t>了</w:t>
      </w:r>
      <w:r w:rsidR="00C26EB3">
        <w:rPr>
          <w:rFonts w:hint="eastAsia"/>
          <w:sz w:val="24"/>
          <w:szCs w:val="24"/>
        </w:rPr>
        <w:t>申请，</w:t>
      </w:r>
      <w:r w:rsidR="00C26EB3" w:rsidRPr="000A2BB8">
        <w:rPr>
          <w:rFonts w:hint="eastAsia"/>
          <w:sz w:val="24"/>
          <w:szCs w:val="24"/>
        </w:rPr>
        <w:t>中国煤炭学会</w:t>
      </w:r>
      <w:r w:rsidR="00C26EB3">
        <w:rPr>
          <w:rFonts w:hint="eastAsia"/>
          <w:sz w:val="24"/>
          <w:szCs w:val="24"/>
        </w:rPr>
        <w:t>于</w:t>
      </w:r>
      <w:r w:rsidR="00D67DB0" w:rsidRPr="000A2BB8">
        <w:rPr>
          <w:rFonts w:hint="eastAsia"/>
          <w:sz w:val="24"/>
          <w:szCs w:val="24"/>
        </w:rPr>
        <w:t>2019</w:t>
      </w:r>
      <w:r w:rsidR="00D67DB0" w:rsidRPr="000A2BB8">
        <w:rPr>
          <w:rFonts w:hint="eastAsia"/>
          <w:sz w:val="24"/>
          <w:szCs w:val="24"/>
        </w:rPr>
        <w:t>年</w:t>
      </w:r>
      <w:r w:rsidR="00D67DB0" w:rsidRPr="000A2BB8">
        <w:rPr>
          <w:rFonts w:hint="eastAsia"/>
          <w:sz w:val="24"/>
          <w:szCs w:val="24"/>
        </w:rPr>
        <w:t>11</w:t>
      </w:r>
      <w:r w:rsidR="00D67DB0" w:rsidRPr="000A2BB8">
        <w:rPr>
          <w:rFonts w:hint="eastAsia"/>
          <w:sz w:val="24"/>
          <w:szCs w:val="24"/>
        </w:rPr>
        <w:t>月</w:t>
      </w:r>
      <w:r w:rsidR="00D67DB0" w:rsidRPr="000A2BB8">
        <w:rPr>
          <w:rFonts w:hint="eastAsia"/>
          <w:sz w:val="24"/>
          <w:szCs w:val="24"/>
        </w:rPr>
        <w:t>4</w:t>
      </w:r>
      <w:r w:rsidR="00D67DB0" w:rsidRPr="000A2BB8">
        <w:rPr>
          <w:rFonts w:hint="eastAsia"/>
          <w:sz w:val="24"/>
          <w:szCs w:val="24"/>
        </w:rPr>
        <w:t>日批准了以</w:t>
      </w:r>
      <w:r w:rsidR="00EE74C5" w:rsidRPr="00EE74C5">
        <w:rPr>
          <w:sz w:val="24"/>
          <w:szCs w:val="24"/>
        </w:rPr>
        <w:t>中国煤炭学会煤矿开采损害技术鉴定委员会，中国矿业大学，天地科技股份有限公司，煤炭科学研究</w:t>
      </w:r>
      <w:r w:rsidR="00EE74C5" w:rsidRPr="00EE74C5">
        <w:rPr>
          <w:rFonts w:hint="eastAsia"/>
          <w:sz w:val="24"/>
          <w:szCs w:val="24"/>
        </w:rPr>
        <w:t>总</w:t>
      </w:r>
      <w:r w:rsidR="00EE74C5" w:rsidRPr="00EE74C5">
        <w:rPr>
          <w:sz w:val="24"/>
          <w:szCs w:val="24"/>
        </w:rPr>
        <w:t>院唐山</w:t>
      </w:r>
      <w:r w:rsidR="00EE74C5" w:rsidRPr="00EE74C5">
        <w:rPr>
          <w:rFonts w:hint="eastAsia"/>
          <w:sz w:val="24"/>
          <w:szCs w:val="24"/>
        </w:rPr>
        <w:t>研究院</w:t>
      </w:r>
      <w:r w:rsidR="00EE74C5" w:rsidRPr="00EE74C5">
        <w:rPr>
          <w:sz w:val="24"/>
          <w:szCs w:val="24"/>
        </w:rPr>
        <w:t>，中国矿业大学（北京），辽宁工程技术大学，</w:t>
      </w:r>
      <w:r w:rsidR="00EE74C5" w:rsidRPr="00EE74C5">
        <w:rPr>
          <w:rFonts w:hint="eastAsia"/>
          <w:sz w:val="24"/>
          <w:szCs w:val="24"/>
        </w:rPr>
        <w:t>安徽理工</w:t>
      </w:r>
      <w:r w:rsidR="00EE74C5" w:rsidRPr="00EE74C5">
        <w:rPr>
          <w:sz w:val="24"/>
          <w:szCs w:val="24"/>
        </w:rPr>
        <w:t>大学</w:t>
      </w:r>
      <w:r w:rsidR="00EE74C5">
        <w:rPr>
          <w:rFonts w:hint="eastAsia"/>
          <w:sz w:val="24"/>
          <w:szCs w:val="24"/>
        </w:rPr>
        <w:t>等</w:t>
      </w:r>
      <w:r w:rsidR="000A2BB8" w:rsidRPr="000A2BB8">
        <w:rPr>
          <w:rFonts w:hint="eastAsia"/>
          <w:sz w:val="24"/>
          <w:szCs w:val="24"/>
        </w:rPr>
        <w:t>为主要起草</w:t>
      </w:r>
      <w:r w:rsidR="00D67DB0" w:rsidRPr="000A2BB8">
        <w:rPr>
          <w:rFonts w:hint="eastAsia"/>
          <w:sz w:val="24"/>
          <w:szCs w:val="24"/>
        </w:rPr>
        <w:t>单位</w:t>
      </w:r>
      <w:r w:rsidR="000A2BB8" w:rsidRPr="000A2BB8">
        <w:rPr>
          <w:rFonts w:hint="eastAsia"/>
          <w:sz w:val="24"/>
          <w:szCs w:val="24"/>
        </w:rPr>
        <w:t>，编写</w:t>
      </w:r>
      <w:r w:rsidR="00D67DB0" w:rsidRPr="000A2BB8">
        <w:rPr>
          <w:rFonts w:hint="eastAsia"/>
          <w:sz w:val="24"/>
          <w:szCs w:val="24"/>
        </w:rPr>
        <w:t>《关闭井工矿沉陷灾害监测与评价》</w:t>
      </w:r>
      <w:r w:rsidR="000A2BB8" w:rsidRPr="000A2BB8">
        <w:rPr>
          <w:rFonts w:hint="eastAsia"/>
          <w:sz w:val="24"/>
          <w:szCs w:val="24"/>
        </w:rPr>
        <w:t>标准</w:t>
      </w:r>
      <w:r w:rsidR="000A2BB8">
        <w:rPr>
          <w:rFonts w:hint="eastAsia"/>
          <w:sz w:val="24"/>
          <w:szCs w:val="24"/>
        </w:rPr>
        <w:t>。</w:t>
      </w:r>
      <w:r w:rsidR="000A2BB8" w:rsidRPr="000A2BB8">
        <w:rPr>
          <w:rFonts w:hint="eastAsia"/>
          <w:sz w:val="24"/>
          <w:szCs w:val="24"/>
        </w:rPr>
        <w:t>在</w:t>
      </w:r>
      <w:r w:rsidR="000A2BB8">
        <w:rPr>
          <w:rFonts w:hint="eastAsia"/>
          <w:sz w:val="24"/>
          <w:szCs w:val="24"/>
        </w:rPr>
        <w:t>接到批准书后，</w:t>
      </w:r>
      <w:r w:rsidR="00C26EB3" w:rsidRPr="000A2BB8">
        <w:rPr>
          <w:rFonts w:hint="eastAsia"/>
          <w:sz w:val="24"/>
          <w:szCs w:val="24"/>
        </w:rPr>
        <w:t>中国煤炭学会煤矿开采损害技术鉴定委员会</w:t>
      </w:r>
      <w:r w:rsidR="000A2BB8">
        <w:rPr>
          <w:rFonts w:hint="eastAsia"/>
          <w:sz w:val="24"/>
          <w:szCs w:val="24"/>
        </w:rPr>
        <w:t>于</w:t>
      </w:r>
      <w:r w:rsidR="000A2BB8" w:rsidRPr="000A2BB8">
        <w:rPr>
          <w:rFonts w:hint="eastAsia"/>
          <w:sz w:val="24"/>
          <w:szCs w:val="24"/>
        </w:rPr>
        <w:t>2019</w:t>
      </w:r>
      <w:r w:rsidR="000A2BB8" w:rsidRPr="000A2BB8">
        <w:rPr>
          <w:rFonts w:hint="eastAsia"/>
          <w:sz w:val="24"/>
          <w:szCs w:val="24"/>
        </w:rPr>
        <w:t>年</w:t>
      </w:r>
      <w:r w:rsidR="000A2BB8" w:rsidRPr="000A2BB8">
        <w:rPr>
          <w:rFonts w:hint="eastAsia"/>
          <w:sz w:val="24"/>
          <w:szCs w:val="24"/>
        </w:rPr>
        <w:t>12</w:t>
      </w:r>
      <w:r w:rsidR="000A2BB8" w:rsidRPr="000A2BB8">
        <w:rPr>
          <w:rFonts w:hint="eastAsia"/>
          <w:sz w:val="24"/>
          <w:szCs w:val="24"/>
        </w:rPr>
        <w:t>月</w:t>
      </w:r>
      <w:r w:rsidR="000A2BB8" w:rsidRPr="000A2BB8">
        <w:rPr>
          <w:rFonts w:hint="eastAsia"/>
          <w:sz w:val="24"/>
          <w:szCs w:val="24"/>
        </w:rPr>
        <w:t>11</w:t>
      </w:r>
      <w:r w:rsidR="000A2BB8" w:rsidRPr="000A2BB8">
        <w:rPr>
          <w:rFonts w:hint="eastAsia"/>
          <w:sz w:val="24"/>
          <w:szCs w:val="24"/>
        </w:rPr>
        <w:t>日</w:t>
      </w:r>
      <w:r w:rsidR="000A2BB8">
        <w:rPr>
          <w:rFonts w:hint="eastAsia"/>
          <w:sz w:val="24"/>
          <w:szCs w:val="24"/>
        </w:rPr>
        <w:t>在</w:t>
      </w:r>
      <w:r w:rsidR="000A2BB8" w:rsidRPr="000A2BB8">
        <w:rPr>
          <w:rFonts w:hint="eastAsia"/>
          <w:sz w:val="24"/>
          <w:szCs w:val="24"/>
        </w:rPr>
        <w:t>北京</w:t>
      </w:r>
      <w:r w:rsidR="000A2BB8">
        <w:rPr>
          <w:rFonts w:hint="eastAsia"/>
          <w:sz w:val="24"/>
          <w:szCs w:val="24"/>
        </w:rPr>
        <w:t>召开了编写人员会议，确定了编写内容和大纲，</w:t>
      </w:r>
      <w:r w:rsidR="00C26EB3">
        <w:rPr>
          <w:rFonts w:hint="eastAsia"/>
          <w:sz w:val="24"/>
          <w:szCs w:val="24"/>
        </w:rPr>
        <w:t>2020</w:t>
      </w:r>
      <w:r w:rsidR="00C26EB3">
        <w:rPr>
          <w:rFonts w:hint="eastAsia"/>
          <w:sz w:val="24"/>
          <w:szCs w:val="24"/>
        </w:rPr>
        <w:t>年</w:t>
      </w:r>
      <w:r w:rsidR="00C26EB3">
        <w:rPr>
          <w:rFonts w:hint="eastAsia"/>
          <w:sz w:val="24"/>
          <w:szCs w:val="24"/>
        </w:rPr>
        <w:t>5</w:t>
      </w:r>
      <w:r w:rsidR="00C26EB3">
        <w:rPr>
          <w:rFonts w:hint="eastAsia"/>
          <w:sz w:val="24"/>
          <w:szCs w:val="24"/>
        </w:rPr>
        <w:t>月</w:t>
      </w:r>
      <w:r w:rsidR="000A2BB8">
        <w:rPr>
          <w:rFonts w:hint="eastAsia"/>
          <w:sz w:val="24"/>
          <w:szCs w:val="24"/>
        </w:rPr>
        <w:t>形成</w:t>
      </w:r>
      <w:r w:rsidR="00C26EB3">
        <w:rPr>
          <w:rFonts w:hint="eastAsia"/>
          <w:sz w:val="24"/>
          <w:szCs w:val="24"/>
        </w:rPr>
        <w:t>了</w:t>
      </w:r>
      <w:r w:rsidR="000A2BB8">
        <w:rPr>
          <w:rFonts w:hint="eastAsia"/>
          <w:sz w:val="24"/>
          <w:szCs w:val="24"/>
        </w:rPr>
        <w:t>初稿，</w:t>
      </w:r>
      <w:r w:rsidR="00C26EB3">
        <w:rPr>
          <w:rFonts w:hint="eastAsia"/>
          <w:sz w:val="24"/>
          <w:szCs w:val="24"/>
        </w:rPr>
        <w:t>随后中国煤炭学会</w:t>
      </w:r>
      <w:r w:rsidR="00C26EB3" w:rsidRPr="000A2BB8">
        <w:rPr>
          <w:rFonts w:hint="eastAsia"/>
          <w:sz w:val="24"/>
          <w:szCs w:val="24"/>
        </w:rPr>
        <w:t>煤矿开采损害技术鉴定委员会</w:t>
      </w:r>
      <w:r w:rsidR="00C26EB3">
        <w:rPr>
          <w:rFonts w:hint="eastAsia"/>
          <w:sz w:val="24"/>
          <w:szCs w:val="24"/>
        </w:rPr>
        <w:t>先后在</w:t>
      </w:r>
      <w:r w:rsidR="000A2BB8">
        <w:rPr>
          <w:rFonts w:hint="eastAsia"/>
          <w:sz w:val="24"/>
          <w:szCs w:val="24"/>
        </w:rPr>
        <w:t>江苏徐州、安徽池州、淮南、湖北恩施</w:t>
      </w:r>
      <w:r w:rsidR="00C26EB3">
        <w:rPr>
          <w:rFonts w:hint="eastAsia"/>
          <w:sz w:val="24"/>
          <w:szCs w:val="24"/>
        </w:rPr>
        <w:t>组织</w:t>
      </w:r>
      <w:r w:rsidR="000A2BB8">
        <w:rPr>
          <w:rFonts w:hint="eastAsia"/>
          <w:sz w:val="24"/>
          <w:szCs w:val="24"/>
        </w:rPr>
        <w:t>四次</w:t>
      </w:r>
      <w:r w:rsidR="00A054CB">
        <w:rPr>
          <w:rFonts w:hint="eastAsia"/>
          <w:sz w:val="24"/>
          <w:szCs w:val="24"/>
        </w:rPr>
        <w:t>专题</w:t>
      </w:r>
      <w:r w:rsidR="000A2BB8">
        <w:rPr>
          <w:rFonts w:hint="eastAsia"/>
          <w:sz w:val="24"/>
          <w:szCs w:val="24"/>
        </w:rPr>
        <w:t>会议审查与讨论</w:t>
      </w:r>
      <w:r w:rsidR="00C26EB3">
        <w:rPr>
          <w:rFonts w:hint="eastAsia"/>
          <w:sz w:val="24"/>
          <w:szCs w:val="24"/>
        </w:rPr>
        <w:t>该标准</w:t>
      </w:r>
      <w:r w:rsidR="000A2BB8">
        <w:rPr>
          <w:rFonts w:hint="eastAsia"/>
          <w:sz w:val="24"/>
          <w:szCs w:val="24"/>
        </w:rPr>
        <w:t>，</w:t>
      </w:r>
      <w:r w:rsidR="00A054CB">
        <w:rPr>
          <w:rFonts w:hint="eastAsia"/>
          <w:sz w:val="24"/>
          <w:szCs w:val="24"/>
        </w:rPr>
        <w:t>同时，</w:t>
      </w:r>
      <w:r w:rsidR="00C26EB3">
        <w:rPr>
          <w:rFonts w:hint="eastAsia"/>
          <w:sz w:val="24"/>
          <w:szCs w:val="24"/>
        </w:rPr>
        <w:t>分别</w:t>
      </w:r>
      <w:r w:rsidR="000A2BB8">
        <w:rPr>
          <w:rFonts w:hint="eastAsia"/>
          <w:sz w:val="24"/>
          <w:szCs w:val="24"/>
        </w:rPr>
        <w:t>通过网络征求</w:t>
      </w:r>
      <w:r w:rsidR="00C26EB3" w:rsidRPr="000A2BB8">
        <w:rPr>
          <w:rFonts w:hint="eastAsia"/>
          <w:sz w:val="24"/>
          <w:szCs w:val="24"/>
        </w:rPr>
        <w:t>煤矿开采损害技术鉴定委员会</w:t>
      </w:r>
      <w:r w:rsidR="00C26EB3">
        <w:rPr>
          <w:rFonts w:hint="eastAsia"/>
          <w:sz w:val="24"/>
          <w:szCs w:val="24"/>
        </w:rPr>
        <w:t>专家库</w:t>
      </w:r>
      <w:r w:rsidR="00C26EB3">
        <w:rPr>
          <w:rFonts w:hint="eastAsia"/>
          <w:sz w:val="24"/>
          <w:szCs w:val="24"/>
        </w:rPr>
        <w:t>100</w:t>
      </w:r>
      <w:r w:rsidR="00C26EB3">
        <w:rPr>
          <w:rFonts w:hint="eastAsia"/>
          <w:sz w:val="24"/>
          <w:szCs w:val="24"/>
        </w:rPr>
        <w:t>余位专家和</w:t>
      </w:r>
      <w:r w:rsidR="00C26EB3">
        <w:rPr>
          <w:rFonts w:hint="eastAsia"/>
          <w:sz w:val="24"/>
          <w:szCs w:val="24"/>
        </w:rPr>
        <w:t>40</w:t>
      </w:r>
      <w:r w:rsidR="00C26EB3">
        <w:rPr>
          <w:rFonts w:hint="eastAsia"/>
          <w:sz w:val="24"/>
          <w:szCs w:val="24"/>
        </w:rPr>
        <w:t>多位开采损害技术鉴定委员会委员意见，</w:t>
      </w:r>
      <w:r w:rsidR="003120F4">
        <w:rPr>
          <w:rFonts w:hint="eastAsia"/>
          <w:sz w:val="24"/>
          <w:szCs w:val="24"/>
        </w:rPr>
        <w:t>共收到意见和建议</w:t>
      </w:r>
      <w:r w:rsidR="003120F4">
        <w:rPr>
          <w:rFonts w:hint="eastAsia"/>
          <w:sz w:val="24"/>
          <w:szCs w:val="24"/>
        </w:rPr>
        <w:t>30</w:t>
      </w:r>
      <w:r w:rsidR="003120F4">
        <w:rPr>
          <w:rFonts w:hint="eastAsia"/>
          <w:sz w:val="24"/>
          <w:szCs w:val="24"/>
        </w:rPr>
        <w:t>条（会议上提出的意见未计入），采纳和部分采纳</w:t>
      </w:r>
      <w:r w:rsidR="003120F4">
        <w:rPr>
          <w:rFonts w:hint="eastAsia"/>
          <w:sz w:val="24"/>
          <w:szCs w:val="24"/>
        </w:rPr>
        <w:t>16</w:t>
      </w:r>
      <w:r w:rsidR="003120F4">
        <w:rPr>
          <w:rFonts w:hint="eastAsia"/>
          <w:sz w:val="24"/>
          <w:szCs w:val="24"/>
        </w:rPr>
        <w:t>条，</w:t>
      </w:r>
      <w:r w:rsidR="00C26EB3">
        <w:rPr>
          <w:rFonts w:hint="eastAsia"/>
          <w:sz w:val="24"/>
          <w:szCs w:val="24"/>
        </w:rPr>
        <w:t>根据这些意见，修改后</w:t>
      </w:r>
      <w:r w:rsidR="000A2BB8">
        <w:rPr>
          <w:rFonts w:hint="eastAsia"/>
          <w:sz w:val="24"/>
          <w:szCs w:val="24"/>
        </w:rPr>
        <w:t>形成</w:t>
      </w:r>
      <w:r w:rsidR="00C26EB3">
        <w:rPr>
          <w:rFonts w:hint="eastAsia"/>
          <w:sz w:val="24"/>
          <w:szCs w:val="24"/>
        </w:rPr>
        <w:t>了</w:t>
      </w:r>
      <w:r w:rsidR="000A2BB8">
        <w:rPr>
          <w:rFonts w:hint="eastAsia"/>
          <w:sz w:val="24"/>
          <w:szCs w:val="24"/>
        </w:rPr>
        <w:t>最终稿</w:t>
      </w:r>
      <w:r w:rsidR="00C26EB3">
        <w:rPr>
          <w:rFonts w:hint="eastAsia"/>
          <w:sz w:val="24"/>
          <w:szCs w:val="24"/>
        </w:rPr>
        <w:t>。</w:t>
      </w:r>
    </w:p>
    <w:p w:rsidR="00C62053" w:rsidRPr="00C62053" w:rsidRDefault="00C62053" w:rsidP="00EE74C5">
      <w:pPr>
        <w:spacing w:line="360" w:lineRule="auto"/>
        <w:rPr>
          <w:sz w:val="24"/>
          <w:szCs w:val="24"/>
        </w:rPr>
      </w:pPr>
      <w:r>
        <w:rPr>
          <w:rFonts w:hint="eastAsia"/>
          <w:sz w:val="24"/>
          <w:szCs w:val="24"/>
        </w:rPr>
        <w:t>表</w:t>
      </w:r>
      <w:r>
        <w:rPr>
          <w:rFonts w:hint="eastAsia"/>
          <w:sz w:val="24"/>
          <w:szCs w:val="24"/>
        </w:rPr>
        <w:t xml:space="preserve">1 </w:t>
      </w:r>
      <w:r>
        <w:rPr>
          <w:rFonts w:hint="eastAsia"/>
          <w:sz w:val="24"/>
          <w:szCs w:val="24"/>
        </w:rPr>
        <w:t>会议时间及内容</w:t>
      </w:r>
    </w:p>
    <w:tbl>
      <w:tblPr>
        <w:tblStyle w:val="a3"/>
        <w:tblW w:w="0" w:type="auto"/>
        <w:tblLook w:val="04A0"/>
      </w:tblPr>
      <w:tblGrid>
        <w:gridCol w:w="2196"/>
        <w:gridCol w:w="2109"/>
        <w:gridCol w:w="4217"/>
      </w:tblGrid>
      <w:tr w:rsidR="000A2BB8" w:rsidTr="00F12AF7">
        <w:tc>
          <w:tcPr>
            <w:tcW w:w="2196" w:type="dxa"/>
          </w:tcPr>
          <w:p w:rsidR="000A2BB8" w:rsidRDefault="000A2BB8" w:rsidP="00F12AF7">
            <w:r>
              <w:rPr>
                <w:rFonts w:hint="eastAsia"/>
              </w:rPr>
              <w:t>时间</w:t>
            </w:r>
          </w:p>
        </w:tc>
        <w:tc>
          <w:tcPr>
            <w:tcW w:w="2109" w:type="dxa"/>
          </w:tcPr>
          <w:p w:rsidR="000A2BB8" w:rsidRDefault="000A2BB8" w:rsidP="00F12AF7">
            <w:r>
              <w:rPr>
                <w:rFonts w:hint="eastAsia"/>
              </w:rPr>
              <w:t>开会地点</w:t>
            </w:r>
          </w:p>
        </w:tc>
        <w:tc>
          <w:tcPr>
            <w:tcW w:w="4217" w:type="dxa"/>
          </w:tcPr>
          <w:p w:rsidR="000A2BB8" w:rsidRDefault="000A2BB8" w:rsidP="00F12AF7">
            <w:r>
              <w:rPr>
                <w:rFonts w:hint="eastAsia"/>
              </w:rPr>
              <w:t>会议内容</w:t>
            </w:r>
          </w:p>
        </w:tc>
      </w:tr>
      <w:tr w:rsidR="000A2BB8" w:rsidTr="00F12AF7">
        <w:tc>
          <w:tcPr>
            <w:tcW w:w="2196" w:type="dxa"/>
          </w:tcPr>
          <w:p w:rsidR="000A2BB8" w:rsidRDefault="000A2BB8" w:rsidP="00F12AF7">
            <w:r>
              <w:rPr>
                <w:rFonts w:hint="eastAsia"/>
              </w:rPr>
              <w:t>2019.8.15-2019.8.16</w:t>
            </w:r>
          </w:p>
        </w:tc>
        <w:tc>
          <w:tcPr>
            <w:tcW w:w="2109" w:type="dxa"/>
          </w:tcPr>
          <w:p w:rsidR="000A2BB8" w:rsidRDefault="000A2BB8" w:rsidP="00F12AF7">
            <w:r>
              <w:rPr>
                <w:rFonts w:hint="eastAsia"/>
              </w:rPr>
              <w:t>浙江宁波</w:t>
            </w:r>
          </w:p>
        </w:tc>
        <w:tc>
          <w:tcPr>
            <w:tcW w:w="4217" w:type="dxa"/>
          </w:tcPr>
          <w:p w:rsidR="000A2BB8" w:rsidRDefault="000A2BB8" w:rsidP="00F12AF7">
            <w:r>
              <w:rPr>
                <w:rFonts w:hint="eastAsia"/>
              </w:rPr>
              <w:t>确定标准编写内容和人员</w:t>
            </w:r>
          </w:p>
        </w:tc>
      </w:tr>
      <w:tr w:rsidR="000A2BB8" w:rsidTr="00F12AF7">
        <w:tc>
          <w:tcPr>
            <w:tcW w:w="2196" w:type="dxa"/>
          </w:tcPr>
          <w:p w:rsidR="000A2BB8" w:rsidRDefault="000A2BB8" w:rsidP="00F12AF7">
            <w:r>
              <w:rPr>
                <w:rFonts w:hint="eastAsia"/>
              </w:rPr>
              <w:t>2019.12.11</w:t>
            </w:r>
          </w:p>
        </w:tc>
        <w:tc>
          <w:tcPr>
            <w:tcW w:w="2109" w:type="dxa"/>
          </w:tcPr>
          <w:p w:rsidR="000A2BB8" w:rsidRDefault="000A2BB8" w:rsidP="00F12AF7">
            <w:r>
              <w:rPr>
                <w:rFonts w:hint="eastAsia"/>
              </w:rPr>
              <w:t>北京</w:t>
            </w:r>
          </w:p>
        </w:tc>
        <w:tc>
          <w:tcPr>
            <w:tcW w:w="4217" w:type="dxa"/>
          </w:tcPr>
          <w:p w:rsidR="000A2BB8" w:rsidRDefault="000A2BB8" w:rsidP="00F12AF7">
            <w:r>
              <w:rPr>
                <w:rFonts w:hint="eastAsia"/>
              </w:rPr>
              <w:t>确定编写大纲及分工</w:t>
            </w:r>
          </w:p>
        </w:tc>
      </w:tr>
      <w:tr w:rsidR="000A2BB8" w:rsidTr="00F12AF7">
        <w:tc>
          <w:tcPr>
            <w:tcW w:w="2196" w:type="dxa"/>
          </w:tcPr>
          <w:p w:rsidR="000A2BB8" w:rsidRDefault="000A2BB8" w:rsidP="00F12AF7">
            <w:r>
              <w:rPr>
                <w:rFonts w:hint="eastAsia"/>
              </w:rPr>
              <w:t>2020.09.23-2020.09.24</w:t>
            </w:r>
          </w:p>
        </w:tc>
        <w:tc>
          <w:tcPr>
            <w:tcW w:w="2109" w:type="dxa"/>
          </w:tcPr>
          <w:p w:rsidR="000A2BB8" w:rsidRDefault="000A2BB8" w:rsidP="00F12AF7">
            <w:r>
              <w:rPr>
                <w:rFonts w:hint="eastAsia"/>
              </w:rPr>
              <w:t>江苏徐州</w:t>
            </w:r>
          </w:p>
        </w:tc>
        <w:tc>
          <w:tcPr>
            <w:tcW w:w="4217" w:type="dxa"/>
          </w:tcPr>
          <w:p w:rsidR="000A2BB8" w:rsidRDefault="000A2BB8" w:rsidP="00F12AF7">
            <w:r>
              <w:rPr>
                <w:rFonts w:hint="eastAsia"/>
              </w:rPr>
              <w:t>讨论和形成标准初稿</w:t>
            </w:r>
          </w:p>
        </w:tc>
      </w:tr>
      <w:tr w:rsidR="000A2BB8" w:rsidTr="00F12AF7">
        <w:tc>
          <w:tcPr>
            <w:tcW w:w="2196" w:type="dxa"/>
          </w:tcPr>
          <w:p w:rsidR="000A2BB8" w:rsidRDefault="000A2BB8" w:rsidP="00F12AF7">
            <w:r>
              <w:rPr>
                <w:rFonts w:hint="eastAsia"/>
              </w:rPr>
              <w:t>2020.11.06-2020.11.07</w:t>
            </w:r>
          </w:p>
        </w:tc>
        <w:tc>
          <w:tcPr>
            <w:tcW w:w="2109" w:type="dxa"/>
          </w:tcPr>
          <w:p w:rsidR="000A2BB8" w:rsidRDefault="000A2BB8" w:rsidP="00F12AF7">
            <w:r>
              <w:rPr>
                <w:rFonts w:hint="eastAsia"/>
              </w:rPr>
              <w:t>安徽池州</w:t>
            </w:r>
          </w:p>
        </w:tc>
        <w:tc>
          <w:tcPr>
            <w:tcW w:w="4217" w:type="dxa"/>
          </w:tcPr>
          <w:p w:rsidR="000A2BB8" w:rsidRDefault="000A2BB8" w:rsidP="00F12AF7">
            <w:r>
              <w:rPr>
                <w:rFonts w:hint="eastAsia"/>
              </w:rPr>
              <w:t>开采损害技术鉴定委员会全体会议上讨论</w:t>
            </w:r>
          </w:p>
        </w:tc>
      </w:tr>
      <w:tr w:rsidR="000A2BB8" w:rsidTr="00F12AF7">
        <w:tc>
          <w:tcPr>
            <w:tcW w:w="2196" w:type="dxa"/>
          </w:tcPr>
          <w:p w:rsidR="000A2BB8" w:rsidRDefault="000A2BB8" w:rsidP="00F12AF7">
            <w:r>
              <w:rPr>
                <w:rFonts w:hint="eastAsia"/>
              </w:rPr>
              <w:t>2021.07.19-2021.07.21</w:t>
            </w:r>
          </w:p>
        </w:tc>
        <w:tc>
          <w:tcPr>
            <w:tcW w:w="2109" w:type="dxa"/>
          </w:tcPr>
          <w:p w:rsidR="000A2BB8" w:rsidRDefault="000A2BB8" w:rsidP="00F12AF7">
            <w:r>
              <w:rPr>
                <w:rFonts w:hint="eastAsia"/>
              </w:rPr>
              <w:t>安徽淮南</w:t>
            </w:r>
          </w:p>
        </w:tc>
        <w:tc>
          <w:tcPr>
            <w:tcW w:w="4217" w:type="dxa"/>
          </w:tcPr>
          <w:p w:rsidR="000A2BB8" w:rsidRDefault="000A2BB8" w:rsidP="00F12AF7">
            <w:r>
              <w:rPr>
                <w:rFonts w:hint="eastAsia"/>
              </w:rPr>
              <w:t>编写组及相关人员讨论和确定最终稿</w:t>
            </w:r>
          </w:p>
        </w:tc>
      </w:tr>
      <w:tr w:rsidR="000A2BB8" w:rsidTr="00F12AF7">
        <w:tc>
          <w:tcPr>
            <w:tcW w:w="2196" w:type="dxa"/>
          </w:tcPr>
          <w:p w:rsidR="000A2BB8" w:rsidRDefault="000A2BB8" w:rsidP="00F12AF7">
            <w:r>
              <w:rPr>
                <w:rFonts w:hint="eastAsia"/>
              </w:rPr>
              <w:lastRenderedPageBreak/>
              <w:t>2021.10.22-2021.10.24</w:t>
            </w:r>
          </w:p>
        </w:tc>
        <w:tc>
          <w:tcPr>
            <w:tcW w:w="2109" w:type="dxa"/>
          </w:tcPr>
          <w:p w:rsidR="000A2BB8" w:rsidRDefault="000A2BB8" w:rsidP="00F12AF7">
            <w:r>
              <w:rPr>
                <w:rFonts w:hint="eastAsia"/>
              </w:rPr>
              <w:t>湖北恩施</w:t>
            </w:r>
          </w:p>
        </w:tc>
        <w:tc>
          <w:tcPr>
            <w:tcW w:w="4217" w:type="dxa"/>
          </w:tcPr>
          <w:p w:rsidR="000A2BB8" w:rsidRDefault="000A2BB8" w:rsidP="00F12AF7">
            <w:r>
              <w:rPr>
                <w:rFonts w:hint="eastAsia"/>
              </w:rPr>
              <w:t>开采损害技术鉴定委员会会议上讨论最终稿</w:t>
            </w:r>
          </w:p>
        </w:tc>
      </w:tr>
    </w:tbl>
    <w:p w:rsidR="00EB1E4E" w:rsidRPr="00407947" w:rsidRDefault="00C26EB3" w:rsidP="00DD21EC">
      <w:pPr>
        <w:spacing w:line="360" w:lineRule="auto"/>
        <w:ind w:firstLineChars="177" w:firstLine="425"/>
        <w:rPr>
          <w:rFonts w:ascii="宋体" w:eastAsia="宋体" w:hAnsi="宋体"/>
          <w:sz w:val="24"/>
          <w:szCs w:val="24"/>
        </w:rPr>
      </w:pPr>
      <w:r w:rsidRPr="00407947">
        <w:rPr>
          <w:rFonts w:ascii="宋体" w:eastAsia="宋体" w:hAnsi="宋体" w:hint="eastAsia"/>
          <w:sz w:val="24"/>
          <w:szCs w:val="24"/>
        </w:rPr>
        <w:t>本标准由邓喀中、张华兴为</w:t>
      </w:r>
      <w:r w:rsidR="00A054CB" w:rsidRPr="00407947">
        <w:rPr>
          <w:rFonts w:ascii="宋体" w:eastAsia="宋体" w:hAnsi="宋体" w:hint="eastAsia"/>
          <w:sz w:val="24"/>
          <w:szCs w:val="24"/>
        </w:rPr>
        <w:t>编写组</w:t>
      </w:r>
      <w:r w:rsidRPr="00407947">
        <w:rPr>
          <w:rFonts w:ascii="宋体" w:eastAsia="宋体" w:hAnsi="宋体" w:hint="eastAsia"/>
          <w:sz w:val="24"/>
          <w:szCs w:val="24"/>
        </w:rPr>
        <w:t>组长，</w:t>
      </w:r>
      <w:r w:rsidR="00A054CB" w:rsidRPr="00407947">
        <w:rPr>
          <w:rFonts w:ascii="宋体" w:eastAsia="宋体" w:hAnsi="宋体" w:hint="eastAsia"/>
          <w:sz w:val="24"/>
          <w:szCs w:val="24"/>
        </w:rPr>
        <w:t>组</w:t>
      </w:r>
      <w:r w:rsidR="009846DB" w:rsidRPr="00407947">
        <w:rPr>
          <w:rFonts w:ascii="宋体" w:eastAsia="宋体" w:hAnsi="宋体" w:hint="eastAsia"/>
          <w:sz w:val="24"/>
          <w:szCs w:val="24"/>
        </w:rPr>
        <w:t>员包括徐乃忠、滕永海、</w:t>
      </w:r>
      <w:r w:rsidR="00A054CB" w:rsidRPr="00407947">
        <w:rPr>
          <w:rFonts w:ascii="宋体" w:eastAsia="宋体" w:hAnsi="宋体" w:hint="eastAsia"/>
          <w:sz w:val="24"/>
          <w:szCs w:val="24"/>
        </w:rPr>
        <w:t>戴华阳、</w:t>
      </w:r>
      <w:r w:rsidR="009846DB" w:rsidRPr="00407947">
        <w:rPr>
          <w:rFonts w:ascii="宋体" w:eastAsia="宋体" w:hAnsi="宋体" w:hint="eastAsia"/>
          <w:sz w:val="24"/>
          <w:szCs w:val="24"/>
        </w:rPr>
        <w:t>余学祥、杨帆</w:t>
      </w:r>
      <w:r w:rsidR="008B2E33" w:rsidRPr="00407947">
        <w:rPr>
          <w:rFonts w:ascii="宋体" w:eastAsia="宋体" w:hAnsi="宋体" w:hint="eastAsia"/>
          <w:sz w:val="24"/>
          <w:szCs w:val="24"/>
        </w:rPr>
        <w:t>、谭志祥</w:t>
      </w:r>
      <w:r w:rsidR="009846DB" w:rsidRPr="00407947">
        <w:rPr>
          <w:rFonts w:ascii="宋体" w:eastAsia="宋体" w:hAnsi="宋体" w:hint="eastAsia"/>
          <w:sz w:val="24"/>
          <w:szCs w:val="24"/>
        </w:rPr>
        <w:t>等</w:t>
      </w:r>
      <w:r w:rsidR="003F2FEA" w:rsidRPr="00407947">
        <w:rPr>
          <w:rFonts w:ascii="宋体" w:eastAsia="宋体" w:hAnsi="宋体" w:hint="eastAsia"/>
          <w:sz w:val="24"/>
          <w:szCs w:val="24"/>
        </w:rPr>
        <w:t>，</w:t>
      </w:r>
      <w:r w:rsidR="00EB1E4E" w:rsidRPr="00407947">
        <w:rPr>
          <w:rFonts w:ascii="宋体" w:eastAsia="宋体" w:hAnsi="宋体" w:hint="eastAsia"/>
          <w:sz w:val="24"/>
          <w:szCs w:val="24"/>
        </w:rPr>
        <w:t>各章节</w:t>
      </w:r>
      <w:r w:rsidR="003F2FEA" w:rsidRPr="00407947">
        <w:rPr>
          <w:rFonts w:ascii="宋体" w:eastAsia="宋体" w:hAnsi="宋体" w:hint="eastAsia"/>
          <w:sz w:val="24"/>
          <w:szCs w:val="24"/>
        </w:rPr>
        <w:t>主要</w:t>
      </w:r>
      <w:r w:rsidR="00EB1E4E" w:rsidRPr="00407947">
        <w:rPr>
          <w:rFonts w:ascii="宋体" w:eastAsia="宋体" w:hAnsi="宋体" w:hint="eastAsia"/>
          <w:sz w:val="24"/>
          <w:szCs w:val="24"/>
        </w:rPr>
        <w:t>负责人见表2</w:t>
      </w:r>
      <w:r w:rsidR="003F2FEA" w:rsidRPr="00407947">
        <w:rPr>
          <w:rFonts w:ascii="宋体" w:eastAsia="宋体" w:hAnsi="宋体" w:hint="eastAsia"/>
          <w:sz w:val="24"/>
          <w:szCs w:val="24"/>
        </w:rPr>
        <w:t>，全体成员及中国煤炭学会开采损害技术鉴定委员会委员通过讨论参与了相关编写工作。</w:t>
      </w:r>
    </w:p>
    <w:p w:rsidR="003F2FEA" w:rsidRDefault="003F2FEA" w:rsidP="00DD21EC">
      <w:pPr>
        <w:spacing w:line="360" w:lineRule="auto"/>
        <w:ind w:firstLineChars="177" w:firstLine="425"/>
        <w:rPr>
          <w:sz w:val="24"/>
          <w:szCs w:val="24"/>
        </w:rPr>
      </w:pPr>
      <w:r>
        <w:rPr>
          <w:rFonts w:hint="eastAsia"/>
          <w:sz w:val="24"/>
          <w:szCs w:val="24"/>
        </w:rPr>
        <w:t>表</w:t>
      </w:r>
      <w:r>
        <w:rPr>
          <w:sz w:val="24"/>
          <w:szCs w:val="24"/>
        </w:rPr>
        <w:t xml:space="preserve">2 </w:t>
      </w:r>
      <w:r>
        <w:rPr>
          <w:rFonts w:hint="eastAsia"/>
          <w:sz w:val="24"/>
          <w:szCs w:val="24"/>
        </w:rPr>
        <w:t>章节及主要编写人员</w:t>
      </w:r>
    </w:p>
    <w:tbl>
      <w:tblPr>
        <w:tblStyle w:val="a3"/>
        <w:tblW w:w="0" w:type="auto"/>
        <w:tblLook w:val="04A0"/>
      </w:tblPr>
      <w:tblGrid>
        <w:gridCol w:w="959"/>
        <w:gridCol w:w="4111"/>
        <w:gridCol w:w="2551"/>
        <w:gridCol w:w="901"/>
      </w:tblGrid>
      <w:tr w:rsidR="003F2FEA" w:rsidRPr="003F2FEA" w:rsidTr="003F2FEA">
        <w:tc>
          <w:tcPr>
            <w:tcW w:w="959"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章节</w:t>
            </w:r>
          </w:p>
        </w:tc>
        <w:tc>
          <w:tcPr>
            <w:tcW w:w="411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章名</w:t>
            </w:r>
          </w:p>
        </w:tc>
        <w:tc>
          <w:tcPr>
            <w:tcW w:w="255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主要编写人</w:t>
            </w:r>
          </w:p>
        </w:tc>
        <w:tc>
          <w:tcPr>
            <w:tcW w:w="901" w:type="dxa"/>
          </w:tcPr>
          <w:p w:rsidR="00EB1E4E" w:rsidRPr="003F2FEA" w:rsidRDefault="003F2FEA"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备注</w:t>
            </w:r>
          </w:p>
        </w:tc>
      </w:tr>
      <w:tr w:rsidR="003F2FEA" w:rsidRPr="003F2FEA" w:rsidTr="003F2FEA">
        <w:tc>
          <w:tcPr>
            <w:tcW w:w="959"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1</w:t>
            </w:r>
          </w:p>
        </w:tc>
        <w:tc>
          <w:tcPr>
            <w:tcW w:w="4111" w:type="dxa"/>
          </w:tcPr>
          <w:p w:rsidR="00EB1E4E" w:rsidRPr="003F2FEA" w:rsidRDefault="00EB1E4E" w:rsidP="00EB1E4E">
            <w:pPr>
              <w:spacing w:line="400" w:lineRule="exact"/>
              <w:outlineLvl w:val="0"/>
              <w:rPr>
                <w:rFonts w:ascii="宋体" w:eastAsia="宋体" w:hAnsi="宋体"/>
                <w:color w:val="000000" w:themeColor="text1"/>
                <w:szCs w:val="21"/>
              </w:rPr>
            </w:pPr>
            <w:r w:rsidRPr="003F2FEA">
              <w:rPr>
                <w:rFonts w:ascii="宋体" w:eastAsia="宋体" w:hAnsi="宋体" w:hint="eastAsia"/>
                <w:color w:val="000000" w:themeColor="text1"/>
                <w:szCs w:val="21"/>
              </w:rPr>
              <w:t>范围</w:t>
            </w:r>
          </w:p>
        </w:tc>
        <w:tc>
          <w:tcPr>
            <w:tcW w:w="255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邓喀中、张华兴</w:t>
            </w:r>
          </w:p>
        </w:tc>
        <w:tc>
          <w:tcPr>
            <w:tcW w:w="901" w:type="dxa"/>
          </w:tcPr>
          <w:p w:rsidR="00EB1E4E" w:rsidRPr="003F2FEA" w:rsidRDefault="00EB1E4E" w:rsidP="00DD21EC">
            <w:pPr>
              <w:spacing w:line="360" w:lineRule="auto"/>
              <w:rPr>
                <w:rFonts w:ascii="宋体" w:eastAsia="宋体" w:hAnsi="宋体"/>
                <w:color w:val="000000" w:themeColor="text1"/>
                <w:szCs w:val="21"/>
              </w:rPr>
            </w:pPr>
          </w:p>
        </w:tc>
      </w:tr>
      <w:tr w:rsidR="003F2FEA" w:rsidRPr="003F2FEA" w:rsidTr="003F2FEA">
        <w:tc>
          <w:tcPr>
            <w:tcW w:w="959" w:type="dxa"/>
          </w:tcPr>
          <w:p w:rsidR="00EB1E4E" w:rsidRPr="003F2FEA" w:rsidRDefault="00EB1E4E" w:rsidP="00EB1E4E">
            <w:pPr>
              <w:spacing w:line="400" w:lineRule="exact"/>
              <w:outlineLvl w:val="0"/>
              <w:rPr>
                <w:rFonts w:ascii="宋体" w:eastAsia="宋体" w:hAnsi="宋体"/>
                <w:color w:val="000000" w:themeColor="text1"/>
                <w:szCs w:val="21"/>
              </w:rPr>
            </w:pPr>
            <w:r w:rsidRPr="003F2FEA">
              <w:rPr>
                <w:rFonts w:ascii="宋体" w:eastAsia="宋体" w:hAnsi="宋体"/>
                <w:color w:val="000000" w:themeColor="text1"/>
                <w:szCs w:val="21"/>
              </w:rPr>
              <w:t>2</w:t>
            </w:r>
          </w:p>
        </w:tc>
        <w:tc>
          <w:tcPr>
            <w:tcW w:w="411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规范性引用文件</w:t>
            </w:r>
          </w:p>
        </w:tc>
        <w:tc>
          <w:tcPr>
            <w:tcW w:w="255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邓喀中、张华兴</w:t>
            </w:r>
          </w:p>
        </w:tc>
        <w:tc>
          <w:tcPr>
            <w:tcW w:w="901" w:type="dxa"/>
          </w:tcPr>
          <w:p w:rsidR="00EB1E4E" w:rsidRPr="003F2FEA" w:rsidRDefault="00EB1E4E" w:rsidP="00DD21EC">
            <w:pPr>
              <w:spacing w:line="360" w:lineRule="auto"/>
              <w:rPr>
                <w:rFonts w:ascii="宋体" w:eastAsia="宋体" w:hAnsi="宋体"/>
                <w:color w:val="000000" w:themeColor="text1"/>
                <w:szCs w:val="21"/>
              </w:rPr>
            </w:pPr>
          </w:p>
        </w:tc>
      </w:tr>
      <w:tr w:rsidR="003F2FEA" w:rsidRPr="003F2FEA" w:rsidTr="003F2FEA">
        <w:tc>
          <w:tcPr>
            <w:tcW w:w="959" w:type="dxa"/>
          </w:tcPr>
          <w:p w:rsidR="00EB1E4E" w:rsidRPr="003F2FEA" w:rsidRDefault="00EB1E4E" w:rsidP="00EB1E4E">
            <w:pPr>
              <w:outlineLvl w:val="0"/>
              <w:rPr>
                <w:rFonts w:ascii="宋体" w:eastAsia="宋体" w:hAnsi="宋体"/>
                <w:color w:val="000000" w:themeColor="text1"/>
                <w:szCs w:val="21"/>
              </w:rPr>
            </w:pPr>
            <w:r w:rsidRPr="003F2FEA">
              <w:rPr>
                <w:rFonts w:ascii="宋体" w:eastAsia="宋体" w:hAnsi="宋体"/>
                <w:bCs/>
                <w:color w:val="000000" w:themeColor="text1"/>
                <w:szCs w:val="21"/>
              </w:rPr>
              <w:t>3</w:t>
            </w:r>
          </w:p>
        </w:tc>
        <w:tc>
          <w:tcPr>
            <w:tcW w:w="411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bCs/>
                <w:color w:val="000000" w:themeColor="text1"/>
                <w:szCs w:val="21"/>
              </w:rPr>
              <w:t>术语和定义</w:t>
            </w:r>
          </w:p>
        </w:tc>
        <w:tc>
          <w:tcPr>
            <w:tcW w:w="255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邓喀中、张华兴</w:t>
            </w:r>
            <w:r w:rsidR="003F2FEA">
              <w:rPr>
                <w:rFonts w:ascii="宋体" w:eastAsia="宋体" w:hAnsi="宋体" w:hint="eastAsia"/>
                <w:color w:val="000000" w:themeColor="text1"/>
                <w:szCs w:val="21"/>
              </w:rPr>
              <w:t>、戴华阳</w:t>
            </w:r>
          </w:p>
        </w:tc>
        <w:tc>
          <w:tcPr>
            <w:tcW w:w="901" w:type="dxa"/>
          </w:tcPr>
          <w:p w:rsidR="00EB1E4E" w:rsidRPr="003F2FEA" w:rsidRDefault="00EB1E4E" w:rsidP="00DD21EC">
            <w:pPr>
              <w:spacing w:line="360" w:lineRule="auto"/>
              <w:rPr>
                <w:rFonts w:ascii="宋体" w:eastAsia="宋体" w:hAnsi="宋体"/>
                <w:color w:val="000000" w:themeColor="text1"/>
                <w:szCs w:val="21"/>
              </w:rPr>
            </w:pPr>
          </w:p>
        </w:tc>
      </w:tr>
      <w:tr w:rsidR="003F2FEA" w:rsidRPr="003F2FEA" w:rsidTr="003F2FEA">
        <w:tc>
          <w:tcPr>
            <w:tcW w:w="959" w:type="dxa"/>
          </w:tcPr>
          <w:p w:rsidR="00EB1E4E" w:rsidRPr="003F2FEA" w:rsidRDefault="00EB1E4E" w:rsidP="00EB1E4E">
            <w:pPr>
              <w:outlineLvl w:val="0"/>
              <w:rPr>
                <w:rFonts w:ascii="宋体" w:eastAsia="宋体" w:hAnsi="宋体"/>
                <w:color w:val="000000" w:themeColor="text1"/>
                <w:szCs w:val="21"/>
              </w:rPr>
            </w:pPr>
            <w:r w:rsidRPr="003F2FEA">
              <w:rPr>
                <w:rFonts w:ascii="宋体" w:eastAsia="宋体" w:hAnsi="宋体"/>
                <w:bCs/>
                <w:color w:val="000000" w:themeColor="text1"/>
                <w:szCs w:val="21"/>
              </w:rPr>
              <w:t>4</w:t>
            </w:r>
          </w:p>
        </w:tc>
        <w:tc>
          <w:tcPr>
            <w:tcW w:w="411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bCs/>
                <w:color w:val="000000" w:themeColor="text1"/>
                <w:szCs w:val="21"/>
              </w:rPr>
              <w:t>基本规定</w:t>
            </w:r>
          </w:p>
        </w:tc>
        <w:tc>
          <w:tcPr>
            <w:tcW w:w="255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邓喀中、张华兴</w:t>
            </w:r>
            <w:r w:rsidR="003F2FEA" w:rsidRPr="003F2FEA">
              <w:rPr>
                <w:rFonts w:ascii="宋体" w:eastAsia="宋体" w:hAnsi="宋体" w:hint="eastAsia"/>
                <w:color w:val="000000" w:themeColor="text1"/>
                <w:szCs w:val="21"/>
              </w:rPr>
              <w:t>、谭志祥</w:t>
            </w:r>
          </w:p>
        </w:tc>
        <w:tc>
          <w:tcPr>
            <w:tcW w:w="901" w:type="dxa"/>
          </w:tcPr>
          <w:p w:rsidR="00EB1E4E" w:rsidRPr="003F2FEA" w:rsidRDefault="00EB1E4E" w:rsidP="00DD21EC">
            <w:pPr>
              <w:spacing w:line="360" w:lineRule="auto"/>
              <w:rPr>
                <w:rFonts w:ascii="宋体" w:eastAsia="宋体" w:hAnsi="宋体"/>
                <w:color w:val="000000" w:themeColor="text1"/>
                <w:szCs w:val="21"/>
              </w:rPr>
            </w:pPr>
          </w:p>
        </w:tc>
      </w:tr>
      <w:tr w:rsidR="003F2FEA" w:rsidRPr="003F2FEA" w:rsidTr="003F2FEA">
        <w:tc>
          <w:tcPr>
            <w:tcW w:w="959" w:type="dxa"/>
          </w:tcPr>
          <w:p w:rsidR="00EB1E4E" w:rsidRPr="003F2FEA" w:rsidRDefault="00EB1E4E" w:rsidP="00EB1E4E">
            <w:pPr>
              <w:outlineLvl w:val="0"/>
              <w:rPr>
                <w:rFonts w:ascii="宋体" w:eastAsia="宋体" w:hAnsi="宋体"/>
                <w:color w:val="000000" w:themeColor="text1"/>
                <w:szCs w:val="21"/>
              </w:rPr>
            </w:pPr>
            <w:r w:rsidRPr="003F2FEA">
              <w:rPr>
                <w:rFonts w:ascii="宋体" w:eastAsia="宋体" w:hAnsi="宋体"/>
                <w:bCs/>
                <w:color w:val="000000" w:themeColor="text1"/>
                <w:szCs w:val="21"/>
              </w:rPr>
              <w:t>5</w:t>
            </w:r>
          </w:p>
        </w:tc>
        <w:tc>
          <w:tcPr>
            <w:tcW w:w="411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bCs/>
                <w:color w:val="000000" w:themeColor="text1"/>
                <w:szCs w:val="21"/>
              </w:rPr>
              <w:t>基础资料收集与分析</w:t>
            </w:r>
          </w:p>
        </w:tc>
        <w:tc>
          <w:tcPr>
            <w:tcW w:w="255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徐乃忠</w:t>
            </w:r>
          </w:p>
        </w:tc>
        <w:tc>
          <w:tcPr>
            <w:tcW w:w="901" w:type="dxa"/>
          </w:tcPr>
          <w:p w:rsidR="00EB1E4E" w:rsidRPr="003F2FEA" w:rsidRDefault="00EB1E4E" w:rsidP="00DD21EC">
            <w:pPr>
              <w:spacing w:line="360" w:lineRule="auto"/>
              <w:rPr>
                <w:rFonts w:ascii="宋体" w:eastAsia="宋体" w:hAnsi="宋体"/>
                <w:color w:val="000000" w:themeColor="text1"/>
                <w:szCs w:val="21"/>
              </w:rPr>
            </w:pPr>
          </w:p>
        </w:tc>
      </w:tr>
      <w:tr w:rsidR="003F2FEA" w:rsidRPr="003F2FEA" w:rsidTr="003F2FEA">
        <w:tc>
          <w:tcPr>
            <w:tcW w:w="959" w:type="dxa"/>
          </w:tcPr>
          <w:p w:rsidR="00EB1E4E" w:rsidRPr="003F2FEA" w:rsidRDefault="00EB1E4E" w:rsidP="00EB1E4E">
            <w:pPr>
              <w:spacing w:line="400" w:lineRule="exact"/>
              <w:outlineLvl w:val="0"/>
              <w:rPr>
                <w:rFonts w:ascii="宋体" w:eastAsia="宋体" w:hAnsi="宋体"/>
                <w:color w:val="000000" w:themeColor="text1"/>
                <w:szCs w:val="21"/>
              </w:rPr>
            </w:pPr>
            <w:r w:rsidRPr="003F2FEA">
              <w:rPr>
                <w:rFonts w:ascii="宋体" w:eastAsia="宋体" w:hAnsi="宋体"/>
                <w:bCs/>
                <w:color w:val="000000" w:themeColor="text1"/>
                <w:szCs w:val="21"/>
              </w:rPr>
              <w:t xml:space="preserve">6 </w:t>
            </w:r>
          </w:p>
        </w:tc>
        <w:tc>
          <w:tcPr>
            <w:tcW w:w="411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bCs/>
                <w:color w:val="000000" w:themeColor="text1"/>
                <w:szCs w:val="21"/>
              </w:rPr>
              <w:t>关闭井工矿次生沉陷灾害监测</w:t>
            </w:r>
          </w:p>
        </w:tc>
        <w:tc>
          <w:tcPr>
            <w:tcW w:w="255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余学祥、杨帆</w:t>
            </w:r>
          </w:p>
        </w:tc>
        <w:tc>
          <w:tcPr>
            <w:tcW w:w="901" w:type="dxa"/>
          </w:tcPr>
          <w:p w:rsidR="00EB1E4E" w:rsidRPr="003F2FEA" w:rsidRDefault="00EB1E4E" w:rsidP="00DD21EC">
            <w:pPr>
              <w:spacing w:line="360" w:lineRule="auto"/>
              <w:rPr>
                <w:rFonts w:ascii="宋体" w:eastAsia="宋体" w:hAnsi="宋体"/>
                <w:color w:val="000000" w:themeColor="text1"/>
                <w:szCs w:val="21"/>
              </w:rPr>
            </w:pPr>
          </w:p>
        </w:tc>
      </w:tr>
      <w:tr w:rsidR="003F2FEA" w:rsidRPr="003F2FEA" w:rsidTr="003F2FEA">
        <w:tc>
          <w:tcPr>
            <w:tcW w:w="959"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bCs/>
                <w:color w:val="000000" w:themeColor="text1"/>
                <w:szCs w:val="21"/>
              </w:rPr>
              <w:t>7</w:t>
            </w:r>
          </w:p>
        </w:tc>
        <w:tc>
          <w:tcPr>
            <w:tcW w:w="4111" w:type="dxa"/>
          </w:tcPr>
          <w:p w:rsidR="00EB1E4E" w:rsidRPr="003F2FEA" w:rsidRDefault="00EB1E4E" w:rsidP="00EB1E4E">
            <w:pPr>
              <w:spacing w:line="400" w:lineRule="exact"/>
              <w:outlineLvl w:val="0"/>
              <w:rPr>
                <w:rFonts w:ascii="宋体" w:eastAsia="宋体" w:hAnsi="宋体"/>
                <w:color w:val="000000" w:themeColor="text1"/>
                <w:szCs w:val="21"/>
              </w:rPr>
            </w:pPr>
            <w:r w:rsidRPr="003F2FEA">
              <w:rPr>
                <w:rFonts w:ascii="宋体" w:eastAsia="宋体" w:hAnsi="宋体" w:hint="eastAsia"/>
                <w:bCs/>
                <w:color w:val="000000" w:themeColor="text1"/>
                <w:szCs w:val="21"/>
              </w:rPr>
              <w:t>关闭井工矿地表次生沉陷预测</w:t>
            </w:r>
          </w:p>
        </w:tc>
        <w:tc>
          <w:tcPr>
            <w:tcW w:w="2551"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邓喀中、张华兴、谭志祥</w:t>
            </w:r>
          </w:p>
        </w:tc>
        <w:tc>
          <w:tcPr>
            <w:tcW w:w="901" w:type="dxa"/>
          </w:tcPr>
          <w:p w:rsidR="00EB1E4E" w:rsidRPr="003F2FEA" w:rsidRDefault="00EB1E4E" w:rsidP="00DD21EC">
            <w:pPr>
              <w:spacing w:line="360" w:lineRule="auto"/>
              <w:rPr>
                <w:rFonts w:ascii="宋体" w:eastAsia="宋体" w:hAnsi="宋体"/>
                <w:color w:val="000000" w:themeColor="text1"/>
                <w:szCs w:val="21"/>
              </w:rPr>
            </w:pPr>
          </w:p>
        </w:tc>
      </w:tr>
      <w:tr w:rsidR="003F2FEA" w:rsidRPr="003F2FEA" w:rsidTr="003F2FEA">
        <w:tc>
          <w:tcPr>
            <w:tcW w:w="959" w:type="dxa"/>
          </w:tcPr>
          <w:p w:rsidR="00EB1E4E" w:rsidRPr="003F2FEA" w:rsidRDefault="00EB1E4E" w:rsidP="00DD21EC">
            <w:pPr>
              <w:spacing w:line="360" w:lineRule="auto"/>
              <w:rPr>
                <w:rFonts w:ascii="宋体" w:eastAsia="宋体" w:hAnsi="宋体"/>
                <w:color w:val="000000" w:themeColor="text1"/>
                <w:szCs w:val="21"/>
              </w:rPr>
            </w:pPr>
            <w:r w:rsidRPr="003F2FEA">
              <w:rPr>
                <w:rFonts w:ascii="宋体" w:eastAsia="宋体" w:hAnsi="宋体"/>
                <w:bCs/>
                <w:color w:val="000000" w:themeColor="text1"/>
                <w:szCs w:val="21"/>
              </w:rPr>
              <w:t>8</w:t>
            </w:r>
          </w:p>
        </w:tc>
        <w:tc>
          <w:tcPr>
            <w:tcW w:w="4111" w:type="dxa"/>
          </w:tcPr>
          <w:p w:rsidR="00EB1E4E" w:rsidRPr="003F2FEA" w:rsidRDefault="00EB1E4E" w:rsidP="00EB1E4E">
            <w:pPr>
              <w:spacing w:line="400" w:lineRule="exact"/>
              <w:outlineLvl w:val="0"/>
              <w:rPr>
                <w:rFonts w:ascii="宋体" w:eastAsia="宋体" w:hAnsi="宋体"/>
                <w:color w:val="000000" w:themeColor="text1"/>
                <w:szCs w:val="21"/>
              </w:rPr>
            </w:pPr>
            <w:r w:rsidRPr="003F2FEA">
              <w:rPr>
                <w:rFonts w:ascii="宋体" w:eastAsia="宋体" w:hAnsi="宋体" w:hint="eastAsia"/>
                <w:bCs/>
                <w:color w:val="000000" w:themeColor="text1"/>
                <w:szCs w:val="21"/>
              </w:rPr>
              <w:t>关闭井工矿次生沉陷灾害危险性评价</w:t>
            </w:r>
          </w:p>
        </w:tc>
        <w:tc>
          <w:tcPr>
            <w:tcW w:w="2551" w:type="dxa"/>
          </w:tcPr>
          <w:p w:rsidR="00EB1E4E" w:rsidRPr="003F2FEA" w:rsidRDefault="003F2FEA"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滕永海</w:t>
            </w:r>
            <w:r w:rsidRPr="003F2FEA">
              <w:rPr>
                <w:rFonts w:ascii="宋体" w:eastAsia="宋体" w:hAnsi="宋体"/>
                <w:color w:val="000000" w:themeColor="text1"/>
                <w:szCs w:val="21"/>
              </w:rPr>
              <w:t>、徐乃忠、郭广礼</w:t>
            </w:r>
          </w:p>
        </w:tc>
        <w:tc>
          <w:tcPr>
            <w:tcW w:w="901" w:type="dxa"/>
          </w:tcPr>
          <w:p w:rsidR="00EB1E4E" w:rsidRPr="003F2FEA" w:rsidRDefault="00EB1E4E" w:rsidP="00DD21EC">
            <w:pPr>
              <w:spacing w:line="360" w:lineRule="auto"/>
              <w:rPr>
                <w:rFonts w:ascii="宋体" w:eastAsia="宋体" w:hAnsi="宋体"/>
                <w:color w:val="000000" w:themeColor="text1"/>
                <w:szCs w:val="21"/>
              </w:rPr>
            </w:pPr>
          </w:p>
        </w:tc>
      </w:tr>
      <w:tr w:rsidR="003F2FEA" w:rsidRPr="003F2FEA" w:rsidTr="003F2FEA">
        <w:tc>
          <w:tcPr>
            <w:tcW w:w="959" w:type="dxa"/>
          </w:tcPr>
          <w:p w:rsidR="00EB1E4E" w:rsidRPr="003F2FEA" w:rsidRDefault="003F2FEA" w:rsidP="00DD21EC">
            <w:pPr>
              <w:spacing w:line="360" w:lineRule="auto"/>
              <w:rPr>
                <w:rFonts w:ascii="宋体" w:eastAsia="宋体" w:hAnsi="宋体"/>
                <w:color w:val="000000" w:themeColor="text1"/>
                <w:szCs w:val="21"/>
              </w:rPr>
            </w:pPr>
            <w:r w:rsidRPr="003F2FEA">
              <w:rPr>
                <w:rFonts w:ascii="宋体" w:eastAsia="宋体" w:hAnsi="宋体"/>
                <w:bCs/>
                <w:color w:val="000000" w:themeColor="text1"/>
                <w:szCs w:val="21"/>
              </w:rPr>
              <w:t>9</w:t>
            </w:r>
          </w:p>
        </w:tc>
        <w:tc>
          <w:tcPr>
            <w:tcW w:w="4111" w:type="dxa"/>
          </w:tcPr>
          <w:p w:rsidR="00EB1E4E" w:rsidRPr="003F2FEA" w:rsidRDefault="003F2FEA" w:rsidP="003F2FEA">
            <w:pPr>
              <w:spacing w:line="400" w:lineRule="exact"/>
              <w:rPr>
                <w:rFonts w:ascii="宋体" w:eastAsia="宋体" w:hAnsi="宋体"/>
                <w:color w:val="000000" w:themeColor="text1"/>
                <w:szCs w:val="21"/>
              </w:rPr>
            </w:pPr>
            <w:r w:rsidRPr="003F2FEA">
              <w:rPr>
                <w:rFonts w:ascii="宋体" w:eastAsia="宋体" w:hAnsi="宋体" w:hint="eastAsia"/>
                <w:bCs/>
                <w:color w:val="000000" w:themeColor="text1"/>
                <w:szCs w:val="21"/>
              </w:rPr>
              <w:t>成果提交</w:t>
            </w:r>
          </w:p>
        </w:tc>
        <w:tc>
          <w:tcPr>
            <w:tcW w:w="2551" w:type="dxa"/>
          </w:tcPr>
          <w:p w:rsidR="00EB1E4E" w:rsidRPr="003F2FEA" w:rsidRDefault="003F2FEA"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邓喀中、张华兴、谭志祥</w:t>
            </w:r>
          </w:p>
        </w:tc>
        <w:tc>
          <w:tcPr>
            <w:tcW w:w="901" w:type="dxa"/>
          </w:tcPr>
          <w:p w:rsidR="00EB1E4E" w:rsidRPr="003F2FEA" w:rsidRDefault="00EB1E4E" w:rsidP="00DD21EC">
            <w:pPr>
              <w:spacing w:line="360" w:lineRule="auto"/>
              <w:rPr>
                <w:rFonts w:ascii="宋体" w:eastAsia="宋体" w:hAnsi="宋体"/>
                <w:color w:val="000000" w:themeColor="text1"/>
                <w:szCs w:val="21"/>
              </w:rPr>
            </w:pPr>
          </w:p>
        </w:tc>
      </w:tr>
      <w:tr w:rsidR="003F2FEA" w:rsidRPr="003F2FEA" w:rsidTr="003F2FEA">
        <w:tc>
          <w:tcPr>
            <w:tcW w:w="959" w:type="dxa"/>
          </w:tcPr>
          <w:p w:rsidR="003F2FEA" w:rsidRPr="003F2FEA" w:rsidRDefault="003F2FEA" w:rsidP="00DD21EC">
            <w:pPr>
              <w:spacing w:line="360" w:lineRule="auto"/>
              <w:rPr>
                <w:rFonts w:ascii="宋体" w:eastAsia="宋体" w:hAnsi="宋体"/>
                <w:bCs/>
                <w:color w:val="000000" w:themeColor="text1"/>
                <w:szCs w:val="21"/>
              </w:rPr>
            </w:pPr>
            <w:r w:rsidRPr="003F2FEA">
              <w:rPr>
                <w:rFonts w:ascii="宋体" w:eastAsia="宋体" w:hAnsi="宋体" w:hint="eastAsia"/>
                <w:color w:val="000000" w:themeColor="text1"/>
                <w:szCs w:val="21"/>
              </w:rPr>
              <w:t>附录A</w:t>
            </w:r>
          </w:p>
        </w:tc>
        <w:tc>
          <w:tcPr>
            <w:tcW w:w="4111" w:type="dxa"/>
          </w:tcPr>
          <w:p w:rsidR="003F2FEA" w:rsidRPr="003F2FEA" w:rsidRDefault="003F2FEA" w:rsidP="003F2FEA">
            <w:pPr>
              <w:spacing w:line="400" w:lineRule="exact"/>
              <w:rPr>
                <w:rFonts w:ascii="宋体" w:eastAsia="宋体" w:hAnsi="宋体"/>
                <w:bCs/>
                <w:color w:val="000000" w:themeColor="text1"/>
                <w:szCs w:val="21"/>
              </w:rPr>
            </w:pPr>
            <w:r w:rsidRPr="003F2FEA">
              <w:rPr>
                <w:rFonts w:ascii="宋体" w:eastAsia="宋体" w:hAnsi="宋体" w:hint="eastAsia"/>
                <w:color w:val="000000" w:themeColor="text1"/>
                <w:szCs w:val="21"/>
              </w:rPr>
              <w:t>煤柱剥离量及安全系数计算方法</w:t>
            </w:r>
          </w:p>
        </w:tc>
        <w:tc>
          <w:tcPr>
            <w:tcW w:w="2551" w:type="dxa"/>
          </w:tcPr>
          <w:p w:rsidR="003F2FEA" w:rsidRPr="003F2FEA" w:rsidRDefault="003F2FEA"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邓喀中、谭志祥</w:t>
            </w:r>
          </w:p>
        </w:tc>
        <w:tc>
          <w:tcPr>
            <w:tcW w:w="901" w:type="dxa"/>
          </w:tcPr>
          <w:p w:rsidR="003F2FEA" w:rsidRPr="003F2FEA" w:rsidRDefault="003F2FEA" w:rsidP="00DD21EC">
            <w:pPr>
              <w:spacing w:line="360" w:lineRule="auto"/>
              <w:rPr>
                <w:rFonts w:ascii="宋体" w:eastAsia="宋体" w:hAnsi="宋体"/>
                <w:color w:val="000000" w:themeColor="text1"/>
                <w:szCs w:val="21"/>
              </w:rPr>
            </w:pPr>
          </w:p>
        </w:tc>
      </w:tr>
      <w:tr w:rsidR="003F2FEA" w:rsidRPr="003F2FEA" w:rsidTr="003F2FEA">
        <w:tc>
          <w:tcPr>
            <w:tcW w:w="959" w:type="dxa"/>
          </w:tcPr>
          <w:p w:rsidR="003F2FEA" w:rsidRPr="003F2FEA" w:rsidRDefault="007C5DF2" w:rsidP="00DD21EC">
            <w:pPr>
              <w:spacing w:line="360" w:lineRule="auto"/>
              <w:rPr>
                <w:rFonts w:ascii="宋体" w:eastAsia="宋体" w:hAnsi="宋体"/>
                <w:bCs/>
                <w:color w:val="000000" w:themeColor="text1"/>
                <w:szCs w:val="21"/>
              </w:rPr>
            </w:pPr>
            <w:hyperlink r:id="rId7" w:tooltip="铁路工程沉降变形观测与评估技术规程 （Q/CR 9230—2016）" w:history="1">
              <w:r w:rsidR="003F2FEA" w:rsidRPr="003F2FEA">
                <w:rPr>
                  <w:rFonts w:ascii="宋体" w:eastAsia="宋体" w:hAnsi="宋体"/>
                  <w:color w:val="000000" w:themeColor="text1"/>
                  <w:szCs w:val="21"/>
                </w:rPr>
                <w:t>附录B</w:t>
              </w:r>
            </w:hyperlink>
          </w:p>
        </w:tc>
        <w:tc>
          <w:tcPr>
            <w:tcW w:w="4111" w:type="dxa"/>
          </w:tcPr>
          <w:p w:rsidR="003F2FEA" w:rsidRPr="003F2FEA" w:rsidRDefault="003F2FEA" w:rsidP="003F2FEA">
            <w:pPr>
              <w:spacing w:line="400" w:lineRule="exact"/>
              <w:rPr>
                <w:rFonts w:ascii="宋体" w:eastAsia="宋体" w:hAnsi="宋体"/>
                <w:bCs/>
                <w:color w:val="000000" w:themeColor="text1"/>
                <w:szCs w:val="21"/>
              </w:rPr>
            </w:pPr>
            <w:r w:rsidRPr="003F2FEA">
              <w:rPr>
                <w:rFonts w:ascii="宋体" w:eastAsia="宋体" w:hAnsi="宋体"/>
                <w:color w:val="000000" w:themeColor="text1"/>
                <w:szCs w:val="21"/>
              </w:rPr>
              <w:t>关闭井工矿次生沉陷计算方法</w:t>
            </w:r>
          </w:p>
        </w:tc>
        <w:tc>
          <w:tcPr>
            <w:tcW w:w="2551" w:type="dxa"/>
          </w:tcPr>
          <w:p w:rsidR="003F2FEA" w:rsidRPr="003F2FEA" w:rsidRDefault="003F2FEA"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邓喀中、张华兴、谭志祥</w:t>
            </w:r>
          </w:p>
        </w:tc>
        <w:tc>
          <w:tcPr>
            <w:tcW w:w="901" w:type="dxa"/>
          </w:tcPr>
          <w:p w:rsidR="003F2FEA" w:rsidRPr="003F2FEA" w:rsidRDefault="003F2FEA" w:rsidP="00DD21EC">
            <w:pPr>
              <w:spacing w:line="360" w:lineRule="auto"/>
              <w:rPr>
                <w:rFonts w:ascii="宋体" w:eastAsia="宋体" w:hAnsi="宋体"/>
                <w:color w:val="000000" w:themeColor="text1"/>
                <w:szCs w:val="21"/>
              </w:rPr>
            </w:pPr>
          </w:p>
        </w:tc>
      </w:tr>
      <w:tr w:rsidR="003F2FEA" w:rsidRPr="003F2FEA" w:rsidTr="003F2FEA">
        <w:tc>
          <w:tcPr>
            <w:tcW w:w="959" w:type="dxa"/>
          </w:tcPr>
          <w:p w:rsidR="003F2FEA" w:rsidRPr="003F2FEA" w:rsidRDefault="003F2FEA"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附录C</w:t>
            </w:r>
          </w:p>
        </w:tc>
        <w:tc>
          <w:tcPr>
            <w:tcW w:w="4111" w:type="dxa"/>
          </w:tcPr>
          <w:p w:rsidR="003F2FEA" w:rsidRPr="003F2FEA" w:rsidRDefault="003F2FEA" w:rsidP="003F2FEA">
            <w:pPr>
              <w:spacing w:line="400" w:lineRule="exact"/>
              <w:rPr>
                <w:rFonts w:ascii="宋体" w:eastAsia="宋体" w:hAnsi="宋体"/>
                <w:bCs/>
                <w:color w:val="000000" w:themeColor="text1"/>
                <w:szCs w:val="21"/>
              </w:rPr>
            </w:pPr>
            <w:r w:rsidRPr="003F2FEA">
              <w:rPr>
                <w:rFonts w:ascii="宋体" w:eastAsia="宋体" w:hAnsi="宋体" w:hint="eastAsia"/>
                <w:color w:val="000000" w:themeColor="text1"/>
                <w:szCs w:val="21"/>
              </w:rPr>
              <w:t>关闭井工矿</w:t>
            </w:r>
            <w:r w:rsidRPr="003F2FEA">
              <w:rPr>
                <w:rFonts w:ascii="宋体" w:eastAsia="宋体" w:hAnsi="宋体"/>
                <w:color w:val="000000" w:themeColor="text1"/>
                <w:szCs w:val="21"/>
              </w:rPr>
              <w:t>沉陷灾害监测与</w:t>
            </w:r>
            <w:r w:rsidRPr="003F2FEA">
              <w:rPr>
                <w:rFonts w:ascii="宋体" w:eastAsia="宋体" w:hAnsi="宋体" w:hint="eastAsia"/>
                <w:color w:val="000000" w:themeColor="text1"/>
                <w:szCs w:val="21"/>
              </w:rPr>
              <w:t>评价</w:t>
            </w:r>
            <w:r w:rsidRPr="003F2FEA">
              <w:rPr>
                <w:rFonts w:ascii="宋体" w:eastAsia="宋体" w:hAnsi="宋体"/>
                <w:color w:val="000000" w:themeColor="text1"/>
                <w:szCs w:val="21"/>
              </w:rPr>
              <w:t>报告提纲</w:t>
            </w:r>
          </w:p>
        </w:tc>
        <w:tc>
          <w:tcPr>
            <w:tcW w:w="2551" w:type="dxa"/>
          </w:tcPr>
          <w:p w:rsidR="003F2FEA" w:rsidRPr="003F2FEA" w:rsidRDefault="003F2FEA" w:rsidP="00DD21EC">
            <w:pPr>
              <w:spacing w:line="360" w:lineRule="auto"/>
              <w:rPr>
                <w:rFonts w:ascii="宋体" w:eastAsia="宋体" w:hAnsi="宋体"/>
                <w:color w:val="000000" w:themeColor="text1"/>
                <w:szCs w:val="21"/>
              </w:rPr>
            </w:pPr>
            <w:r w:rsidRPr="003F2FEA">
              <w:rPr>
                <w:rFonts w:ascii="宋体" w:eastAsia="宋体" w:hAnsi="宋体" w:hint="eastAsia"/>
                <w:color w:val="000000" w:themeColor="text1"/>
                <w:szCs w:val="21"/>
              </w:rPr>
              <w:t>邓喀中、张华兴</w:t>
            </w:r>
          </w:p>
        </w:tc>
        <w:tc>
          <w:tcPr>
            <w:tcW w:w="901" w:type="dxa"/>
          </w:tcPr>
          <w:p w:rsidR="003F2FEA" w:rsidRPr="003F2FEA" w:rsidRDefault="003F2FEA" w:rsidP="00DD21EC">
            <w:pPr>
              <w:spacing w:line="360" w:lineRule="auto"/>
              <w:rPr>
                <w:rFonts w:ascii="宋体" w:eastAsia="宋体" w:hAnsi="宋体"/>
                <w:color w:val="000000" w:themeColor="text1"/>
                <w:szCs w:val="21"/>
              </w:rPr>
            </w:pPr>
          </w:p>
        </w:tc>
      </w:tr>
    </w:tbl>
    <w:p w:rsidR="00C62053" w:rsidRPr="000E31B9" w:rsidRDefault="00C62053" w:rsidP="000A2BB8">
      <w:pPr>
        <w:spacing w:line="360" w:lineRule="auto"/>
        <w:ind w:firstLineChars="202" w:firstLine="485"/>
        <w:rPr>
          <w:sz w:val="24"/>
          <w:szCs w:val="24"/>
        </w:rPr>
      </w:pPr>
    </w:p>
    <w:p w:rsidR="00D67DB0" w:rsidRDefault="00D67DB0" w:rsidP="000A2BB8">
      <w:pPr>
        <w:spacing w:line="360" w:lineRule="auto"/>
        <w:rPr>
          <w:sz w:val="24"/>
          <w:szCs w:val="24"/>
        </w:rPr>
      </w:pPr>
      <w:r w:rsidRPr="000A2BB8">
        <w:rPr>
          <w:rFonts w:hint="eastAsia"/>
          <w:sz w:val="24"/>
          <w:szCs w:val="24"/>
        </w:rPr>
        <w:t>二、确定中国煤炭学会标准主要技术内容（如技术指标、参数、公式、性能要求、实验方法、检验规则等）的论据（包括试验、统计数据），修订中国煤炭学会标准时，应增加新、旧中国煤炭学会标准水平的对比；</w:t>
      </w:r>
    </w:p>
    <w:p w:rsidR="002D157C" w:rsidRDefault="00C62053" w:rsidP="00C62053">
      <w:pPr>
        <w:spacing w:line="360" w:lineRule="auto"/>
        <w:ind w:firstLineChars="177" w:firstLine="425"/>
        <w:rPr>
          <w:sz w:val="24"/>
          <w:szCs w:val="24"/>
        </w:rPr>
      </w:pPr>
      <w:r>
        <w:rPr>
          <w:rFonts w:hint="eastAsia"/>
          <w:sz w:val="24"/>
          <w:szCs w:val="24"/>
        </w:rPr>
        <w:t>本标准为新编标准，涉及关闭井工矿次生沉陷</w:t>
      </w:r>
      <w:r w:rsidRPr="00C62053">
        <w:rPr>
          <w:rFonts w:hint="eastAsia"/>
          <w:sz w:val="24"/>
          <w:szCs w:val="24"/>
        </w:rPr>
        <w:t>灾害监测的内容、方法、精度、</w:t>
      </w:r>
      <w:r>
        <w:rPr>
          <w:rFonts w:hint="eastAsia"/>
          <w:sz w:val="24"/>
          <w:szCs w:val="24"/>
        </w:rPr>
        <w:t>频率</w:t>
      </w:r>
      <w:r w:rsidRPr="00C62053">
        <w:rPr>
          <w:rFonts w:hint="eastAsia"/>
          <w:sz w:val="24"/>
          <w:szCs w:val="24"/>
        </w:rPr>
        <w:t>、范围及</w:t>
      </w:r>
      <w:r>
        <w:rPr>
          <w:rFonts w:hint="eastAsia"/>
          <w:sz w:val="24"/>
          <w:szCs w:val="24"/>
        </w:rPr>
        <w:t>次生沉陷量预测与</w:t>
      </w:r>
      <w:r w:rsidRPr="00C62053">
        <w:rPr>
          <w:rFonts w:hint="eastAsia"/>
          <w:sz w:val="24"/>
          <w:szCs w:val="24"/>
        </w:rPr>
        <w:t>评价等</w:t>
      </w:r>
      <w:r w:rsidR="000D312B">
        <w:rPr>
          <w:rFonts w:hint="eastAsia"/>
          <w:sz w:val="24"/>
          <w:szCs w:val="24"/>
        </w:rPr>
        <w:t>，监测内容、方法、精度</w:t>
      </w:r>
      <w:r w:rsidR="00540ECF">
        <w:rPr>
          <w:rFonts w:hint="eastAsia"/>
          <w:sz w:val="24"/>
          <w:szCs w:val="24"/>
        </w:rPr>
        <w:t>、各类</w:t>
      </w:r>
      <w:r w:rsidR="00540ECF">
        <w:rPr>
          <w:sz w:val="24"/>
          <w:szCs w:val="24"/>
        </w:rPr>
        <w:t>保护对象评价指标</w:t>
      </w:r>
      <w:r w:rsidR="000D312B">
        <w:rPr>
          <w:rFonts w:hint="eastAsia"/>
          <w:sz w:val="24"/>
          <w:szCs w:val="24"/>
        </w:rPr>
        <w:t>参照相关规程规范确定</w:t>
      </w:r>
      <w:r w:rsidR="00AB5B36">
        <w:rPr>
          <w:rFonts w:hint="eastAsia"/>
          <w:sz w:val="24"/>
          <w:szCs w:val="24"/>
        </w:rPr>
        <w:t>。</w:t>
      </w:r>
      <w:r w:rsidR="000D312B">
        <w:rPr>
          <w:rFonts w:hint="eastAsia"/>
          <w:sz w:val="24"/>
          <w:szCs w:val="24"/>
        </w:rPr>
        <w:t>监测频率考虑到关闭矿井沉陷量小、速度慢，</w:t>
      </w:r>
      <w:r w:rsidR="007A644A">
        <w:rPr>
          <w:rFonts w:hint="eastAsia"/>
          <w:sz w:val="24"/>
          <w:szCs w:val="24"/>
        </w:rPr>
        <w:t>确定</w:t>
      </w:r>
      <w:r w:rsidR="007A644A">
        <w:rPr>
          <w:sz w:val="24"/>
          <w:szCs w:val="24"/>
        </w:rPr>
        <w:t>的</w:t>
      </w:r>
      <w:r w:rsidR="00AB5B36">
        <w:rPr>
          <w:rFonts w:hint="eastAsia"/>
          <w:sz w:val="24"/>
          <w:szCs w:val="24"/>
        </w:rPr>
        <w:t>监测</w:t>
      </w:r>
      <w:r w:rsidR="007A644A">
        <w:rPr>
          <w:rFonts w:hint="eastAsia"/>
          <w:sz w:val="24"/>
          <w:szCs w:val="24"/>
        </w:rPr>
        <w:t>次数较一般建构筑物</w:t>
      </w:r>
      <w:r w:rsidR="007A644A">
        <w:rPr>
          <w:sz w:val="24"/>
          <w:szCs w:val="24"/>
        </w:rPr>
        <w:t>变形</w:t>
      </w:r>
      <w:r w:rsidR="007A644A">
        <w:rPr>
          <w:rFonts w:hint="eastAsia"/>
          <w:sz w:val="24"/>
          <w:szCs w:val="24"/>
        </w:rPr>
        <w:t>监测次数</w:t>
      </w:r>
      <w:r w:rsidR="007A644A">
        <w:rPr>
          <w:sz w:val="24"/>
          <w:szCs w:val="24"/>
        </w:rPr>
        <w:t>适当</w:t>
      </w:r>
      <w:r w:rsidR="007A644A">
        <w:rPr>
          <w:rFonts w:hint="eastAsia"/>
          <w:sz w:val="24"/>
          <w:szCs w:val="24"/>
        </w:rPr>
        <w:t>少一些</w:t>
      </w:r>
      <w:r w:rsidR="007A644A">
        <w:rPr>
          <w:sz w:val="24"/>
          <w:szCs w:val="24"/>
        </w:rPr>
        <w:t>，</w:t>
      </w:r>
      <w:r w:rsidR="003120F4">
        <w:rPr>
          <w:rFonts w:hint="eastAsia"/>
          <w:sz w:val="24"/>
          <w:szCs w:val="24"/>
        </w:rPr>
        <w:t>以</w:t>
      </w:r>
      <w:r w:rsidR="007A644A">
        <w:rPr>
          <w:rFonts w:hint="eastAsia"/>
          <w:sz w:val="24"/>
          <w:szCs w:val="24"/>
        </w:rPr>
        <w:t>减小</w:t>
      </w:r>
      <w:r w:rsidR="007A644A">
        <w:rPr>
          <w:sz w:val="24"/>
          <w:szCs w:val="24"/>
        </w:rPr>
        <w:t>监测工作量，</w:t>
      </w:r>
      <w:r w:rsidR="007A644A">
        <w:rPr>
          <w:rFonts w:hint="eastAsia"/>
          <w:sz w:val="24"/>
          <w:szCs w:val="24"/>
        </w:rPr>
        <w:t>但要求</w:t>
      </w:r>
      <w:r w:rsidR="007A644A">
        <w:rPr>
          <w:sz w:val="24"/>
          <w:szCs w:val="24"/>
        </w:rPr>
        <w:t>根据变形速率</w:t>
      </w:r>
      <w:r w:rsidR="00F74C7E">
        <w:rPr>
          <w:rFonts w:hint="eastAsia"/>
          <w:sz w:val="24"/>
          <w:szCs w:val="24"/>
        </w:rPr>
        <w:t>及特殊</w:t>
      </w:r>
      <w:r w:rsidR="00142735">
        <w:rPr>
          <w:rFonts w:hint="eastAsia"/>
          <w:sz w:val="24"/>
          <w:szCs w:val="24"/>
        </w:rPr>
        <w:t>监测</w:t>
      </w:r>
      <w:r w:rsidR="00F74C7E">
        <w:rPr>
          <w:rFonts w:hint="eastAsia"/>
          <w:sz w:val="24"/>
          <w:szCs w:val="24"/>
        </w:rPr>
        <w:t>对象</w:t>
      </w:r>
      <w:r w:rsidR="007A644A">
        <w:rPr>
          <w:sz w:val="24"/>
          <w:szCs w:val="24"/>
        </w:rPr>
        <w:t>适当增加监测次数</w:t>
      </w:r>
      <w:r w:rsidR="00AB5B36">
        <w:rPr>
          <w:rFonts w:hint="eastAsia"/>
          <w:sz w:val="24"/>
          <w:szCs w:val="24"/>
        </w:rPr>
        <w:t>。</w:t>
      </w:r>
      <w:r w:rsidR="007A644A">
        <w:rPr>
          <w:rFonts w:hint="eastAsia"/>
          <w:sz w:val="24"/>
          <w:szCs w:val="24"/>
        </w:rPr>
        <w:t>监测</w:t>
      </w:r>
      <w:r w:rsidR="000D312B">
        <w:rPr>
          <w:rFonts w:hint="eastAsia"/>
          <w:sz w:val="24"/>
          <w:szCs w:val="24"/>
        </w:rPr>
        <w:t>范围</w:t>
      </w:r>
      <w:r w:rsidR="007A644A">
        <w:rPr>
          <w:rFonts w:hint="eastAsia"/>
          <w:sz w:val="24"/>
          <w:szCs w:val="24"/>
        </w:rPr>
        <w:t>考虑了</w:t>
      </w:r>
      <w:r w:rsidR="007A644A">
        <w:rPr>
          <w:sz w:val="24"/>
          <w:szCs w:val="24"/>
        </w:rPr>
        <w:t>关闭井工矿受地下水作用，</w:t>
      </w:r>
      <w:r w:rsidR="007A644A">
        <w:rPr>
          <w:rFonts w:hint="eastAsia"/>
          <w:sz w:val="24"/>
          <w:szCs w:val="24"/>
        </w:rPr>
        <w:t>移动变形</w:t>
      </w:r>
      <w:r w:rsidR="007A644A">
        <w:rPr>
          <w:sz w:val="24"/>
          <w:szCs w:val="24"/>
        </w:rPr>
        <w:t>范围可能大于开采沉陷范围，适当扩大</w:t>
      </w:r>
      <w:r w:rsidR="007A644A">
        <w:rPr>
          <w:rFonts w:hint="eastAsia"/>
          <w:sz w:val="24"/>
          <w:szCs w:val="24"/>
        </w:rPr>
        <w:t>了</w:t>
      </w:r>
      <w:r w:rsidR="007A644A">
        <w:rPr>
          <w:sz w:val="24"/>
          <w:szCs w:val="24"/>
        </w:rPr>
        <w:t>监测范围，</w:t>
      </w:r>
      <w:r w:rsidR="007A644A">
        <w:rPr>
          <w:rFonts w:hint="eastAsia"/>
          <w:sz w:val="24"/>
          <w:szCs w:val="24"/>
        </w:rPr>
        <w:t>同时</w:t>
      </w:r>
      <w:r w:rsidR="007A644A">
        <w:rPr>
          <w:sz w:val="24"/>
          <w:szCs w:val="24"/>
        </w:rPr>
        <w:t>，采用</w:t>
      </w:r>
      <w:r w:rsidR="007A644A">
        <w:rPr>
          <w:rFonts w:hint="eastAsia"/>
          <w:sz w:val="24"/>
          <w:szCs w:val="24"/>
        </w:rPr>
        <w:t>地面设点重点</w:t>
      </w:r>
      <w:r w:rsidR="007A644A">
        <w:rPr>
          <w:sz w:val="24"/>
          <w:szCs w:val="24"/>
        </w:rPr>
        <w:t>监测</w:t>
      </w:r>
      <w:r w:rsidR="007A644A">
        <w:rPr>
          <w:rFonts w:hint="eastAsia"/>
          <w:sz w:val="24"/>
          <w:szCs w:val="24"/>
        </w:rPr>
        <w:t>和</w:t>
      </w:r>
      <w:r w:rsidR="007A644A">
        <w:rPr>
          <w:sz w:val="24"/>
          <w:szCs w:val="24"/>
        </w:rPr>
        <w:t>InSAR</w:t>
      </w:r>
      <w:r w:rsidR="007A644A">
        <w:rPr>
          <w:rFonts w:hint="eastAsia"/>
          <w:sz w:val="24"/>
          <w:szCs w:val="24"/>
        </w:rPr>
        <w:t>技术</w:t>
      </w:r>
      <w:r w:rsidR="003120F4">
        <w:rPr>
          <w:rFonts w:hint="eastAsia"/>
          <w:sz w:val="24"/>
          <w:szCs w:val="24"/>
        </w:rPr>
        <w:t>面上</w:t>
      </w:r>
      <w:r w:rsidR="007A644A">
        <w:rPr>
          <w:rFonts w:hint="eastAsia"/>
          <w:sz w:val="24"/>
          <w:szCs w:val="24"/>
        </w:rPr>
        <w:t>监测</w:t>
      </w:r>
      <w:r w:rsidR="007A644A">
        <w:rPr>
          <w:sz w:val="24"/>
          <w:szCs w:val="24"/>
        </w:rPr>
        <w:t>相</w:t>
      </w:r>
      <w:r w:rsidR="007A644A">
        <w:rPr>
          <w:rFonts w:hint="eastAsia"/>
          <w:sz w:val="24"/>
          <w:szCs w:val="24"/>
        </w:rPr>
        <w:t>结合</w:t>
      </w:r>
      <w:r w:rsidR="007A644A">
        <w:rPr>
          <w:sz w:val="24"/>
          <w:szCs w:val="24"/>
        </w:rPr>
        <w:t>，</w:t>
      </w:r>
      <w:r w:rsidR="007A644A">
        <w:rPr>
          <w:rFonts w:hint="eastAsia"/>
          <w:sz w:val="24"/>
          <w:szCs w:val="24"/>
        </w:rPr>
        <w:t>要求</w:t>
      </w:r>
      <w:r w:rsidR="005A05B7">
        <w:rPr>
          <w:rFonts w:hint="eastAsia"/>
          <w:sz w:val="24"/>
          <w:szCs w:val="24"/>
        </w:rPr>
        <w:t>对</w:t>
      </w:r>
      <w:r w:rsidR="007A644A">
        <w:rPr>
          <w:sz w:val="24"/>
          <w:szCs w:val="24"/>
        </w:rPr>
        <w:t>特级、</w:t>
      </w:r>
      <w:r w:rsidR="007A644A">
        <w:rPr>
          <w:rFonts w:hint="eastAsia"/>
          <w:sz w:val="24"/>
          <w:szCs w:val="24"/>
        </w:rPr>
        <w:t>Ⅰ级</w:t>
      </w:r>
      <w:r w:rsidR="007A644A">
        <w:rPr>
          <w:sz w:val="24"/>
          <w:szCs w:val="24"/>
        </w:rPr>
        <w:lastRenderedPageBreak/>
        <w:t>保护</w:t>
      </w:r>
      <w:r w:rsidR="005A05B7">
        <w:rPr>
          <w:rFonts w:hint="eastAsia"/>
          <w:sz w:val="24"/>
          <w:szCs w:val="24"/>
        </w:rPr>
        <w:t>对象</w:t>
      </w:r>
      <w:r w:rsidR="007A644A">
        <w:rPr>
          <w:rFonts w:hint="eastAsia"/>
          <w:sz w:val="24"/>
          <w:szCs w:val="24"/>
        </w:rPr>
        <w:t>、滑坡体</w:t>
      </w:r>
      <w:r w:rsidR="007A644A">
        <w:rPr>
          <w:sz w:val="24"/>
          <w:szCs w:val="24"/>
        </w:rPr>
        <w:t>、柱式采空区等必须设点监测，</w:t>
      </w:r>
      <w:r w:rsidR="005A05B7">
        <w:rPr>
          <w:rFonts w:hint="eastAsia"/>
          <w:sz w:val="24"/>
          <w:szCs w:val="24"/>
        </w:rPr>
        <w:t>一般区域采用</w:t>
      </w:r>
      <w:r w:rsidR="005A05B7">
        <w:rPr>
          <w:rFonts w:hint="eastAsia"/>
          <w:sz w:val="24"/>
          <w:szCs w:val="24"/>
        </w:rPr>
        <w:t>I</w:t>
      </w:r>
      <w:r w:rsidR="005A05B7">
        <w:rPr>
          <w:sz w:val="24"/>
          <w:szCs w:val="24"/>
        </w:rPr>
        <w:t>nSAR</w:t>
      </w:r>
      <w:r w:rsidR="005A05B7">
        <w:rPr>
          <w:rFonts w:hint="eastAsia"/>
          <w:sz w:val="24"/>
          <w:szCs w:val="24"/>
        </w:rPr>
        <w:t>技术</w:t>
      </w:r>
      <w:r w:rsidR="005A05B7">
        <w:rPr>
          <w:sz w:val="24"/>
          <w:szCs w:val="24"/>
        </w:rPr>
        <w:t>监测</w:t>
      </w:r>
      <w:r w:rsidR="005A05B7">
        <w:rPr>
          <w:rFonts w:hint="eastAsia"/>
          <w:sz w:val="24"/>
          <w:szCs w:val="24"/>
        </w:rPr>
        <w:t>，</w:t>
      </w:r>
      <w:r w:rsidR="005A05B7">
        <w:rPr>
          <w:sz w:val="24"/>
          <w:szCs w:val="24"/>
        </w:rPr>
        <w:t>实现点面</w:t>
      </w:r>
      <w:r w:rsidR="00142735">
        <w:rPr>
          <w:rFonts w:hint="eastAsia"/>
          <w:sz w:val="24"/>
          <w:szCs w:val="24"/>
        </w:rPr>
        <w:t>、地空</w:t>
      </w:r>
      <w:r w:rsidR="005A05B7">
        <w:rPr>
          <w:sz w:val="24"/>
          <w:szCs w:val="24"/>
        </w:rPr>
        <w:t>监测的结合。</w:t>
      </w:r>
    </w:p>
    <w:p w:rsidR="00F74C7E" w:rsidRPr="00142735" w:rsidRDefault="002D157C" w:rsidP="00C62053">
      <w:pPr>
        <w:spacing w:line="360" w:lineRule="auto"/>
        <w:ind w:firstLineChars="177" w:firstLine="425"/>
        <w:rPr>
          <w:sz w:val="24"/>
          <w:szCs w:val="24"/>
        </w:rPr>
      </w:pPr>
      <w:r>
        <w:rPr>
          <w:rFonts w:hint="eastAsia"/>
          <w:sz w:val="24"/>
          <w:szCs w:val="24"/>
        </w:rPr>
        <w:t>考虑到</w:t>
      </w:r>
      <w:r>
        <w:rPr>
          <w:sz w:val="24"/>
          <w:szCs w:val="24"/>
        </w:rPr>
        <w:t>矿井所处</w:t>
      </w:r>
      <w:r>
        <w:rPr>
          <w:rFonts w:hint="eastAsia"/>
          <w:sz w:val="24"/>
          <w:szCs w:val="24"/>
        </w:rPr>
        <w:t>区位</w:t>
      </w:r>
      <w:r w:rsidR="0066515F">
        <w:rPr>
          <w:rFonts w:hint="eastAsia"/>
          <w:sz w:val="24"/>
          <w:szCs w:val="24"/>
        </w:rPr>
        <w:t>和</w:t>
      </w:r>
      <w:r w:rsidR="00F74C7E">
        <w:rPr>
          <w:rFonts w:hint="eastAsia"/>
          <w:sz w:val="24"/>
          <w:szCs w:val="24"/>
        </w:rPr>
        <w:t>关闭矿井上方</w:t>
      </w:r>
      <w:r>
        <w:rPr>
          <w:sz w:val="24"/>
          <w:szCs w:val="24"/>
        </w:rPr>
        <w:t>土地利用</w:t>
      </w:r>
      <w:r w:rsidR="0066515F">
        <w:rPr>
          <w:rFonts w:hint="eastAsia"/>
          <w:sz w:val="24"/>
          <w:szCs w:val="24"/>
        </w:rPr>
        <w:t>的</w:t>
      </w:r>
      <w:r>
        <w:rPr>
          <w:sz w:val="24"/>
          <w:szCs w:val="24"/>
        </w:rPr>
        <w:t>不同，</w:t>
      </w:r>
      <w:r>
        <w:rPr>
          <w:rFonts w:hint="eastAsia"/>
          <w:sz w:val="24"/>
          <w:szCs w:val="24"/>
        </w:rPr>
        <w:t>将</w:t>
      </w:r>
      <w:r>
        <w:rPr>
          <w:sz w:val="24"/>
          <w:szCs w:val="24"/>
        </w:rPr>
        <w:t>关闭</w:t>
      </w:r>
      <w:r>
        <w:rPr>
          <w:rFonts w:hint="eastAsia"/>
          <w:sz w:val="24"/>
          <w:szCs w:val="24"/>
        </w:rPr>
        <w:t>井工矿</w:t>
      </w:r>
      <w:r>
        <w:rPr>
          <w:sz w:val="24"/>
          <w:szCs w:val="24"/>
        </w:rPr>
        <w:t>分为三</w:t>
      </w:r>
      <w:r>
        <w:rPr>
          <w:rFonts w:hint="eastAsia"/>
          <w:sz w:val="24"/>
          <w:szCs w:val="24"/>
        </w:rPr>
        <w:t>种类型</w:t>
      </w:r>
      <w:r>
        <w:rPr>
          <w:sz w:val="24"/>
          <w:szCs w:val="24"/>
        </w:rPr>
        <w:t>，对应的是必须检测、应当监测和</w:t>
      </w:r>
      <w:r>
        <w:rPr>
          <w:rFonts w:hint="eastAsia"/>
          <w:sz w:val="24"/>
          <w:szCs w:val="24"/>
        </w:rPr>
        <w:t>适当</w:t>
      </w:r>
      <w:r>
        <w:rPr>
          <w:sz w:val="24"/>
          <w:szCs w:val="24"/>
        </w:rPr>
        <w:t>监测</w:t>
      </w:r>
      <w:r>
        <w:rPr>
          <w:rFonts w:hint="eastAsia"/>
          <w:sz w:val="24"/>
          <w:szCs w:val="24"/>
        </w:rPr>
        <w:t>，</w:t>
      </w:r>
      <w:r>
        <w:rPr>
          <w:sz w:val="24"/>
          <w:szCs w:val="24"/>
        </w:rPr>
        <w:t>主要考虑</w:t>
      </w:r>
      <w:r>
        <w:rPr>
          <w:rFonts w:hint="eastAsia"/>
          <w:sz w:val="24"/>
          <w:szCs w:val="24"/>
        </w:rPr>
        <w:t>保护对象</w:t>
      </w:r>
      <w:r>
        <w:rPr>
          <w:sz w:val="24"/>
          <w:szCs w:val="24"/>
        </w:rPr>
        <w:t>的重要性、</w:t>
      </w:r>
      <w:r>
        <w:rPr>
          <w:rFonts w:hint="eastAsia"/>
          <w:sz w:val="24"/>
          <w:szCs w:val="24"/>
        </w:rPr>
        <w:t>地表突陷</w:t>
      </w:r>
      <w:r>
        <w:rPr>
          <w:sz w:val="24"/>
          <w:szCs w:val="24"/>
        </w:rPr>
        <w:t>性</w:t>
      </w:r>
      <w:r>
        <w:rPr>
          <w:rFonts w:hint="eastAsia"/>
          <w:sz w:val="24"/>
          <w:szCs w:val="24"/>
        </w:rPr>
        <w:t>、地质灾害</w:t>
      </w:r>
      <w:r w:rsidR="00AE11D3">
        <w:rPr>
          <w:rFonts w:hint="eastAsia"/>
          <w:sz w:val="24"/>
          <w:szCs w:val="24"/>
        </w:rPr>
        <w:t>隐患</w:t>
      </w:r>
      <w:r w:rsidR="00AE11D3">
        <w:rPr>
          <w:sz w:val="24"/>
          <w:szCs w:val="24"/>
        </w:rPr>
        <w:t>大小</w:t>
      </w:r>
      <w:r>
        <w:rPr>
          <w:sz w:val="24"/>
          <w:szCs w:val="24"/>
        </w:rPr>
        <w:t>及今后</w:t>
      </w:r>
      <w:r w:rsidR="00F74C7E">
        <w:rPr>
          <w:rFonts w:hint="eastAsia"/>
          <w:sz w:val="24"/>
          <w:szCs w:val="24"/>
        </w:rPr>
        <w:t>土地</w:t>
      </w:r>
      <w:r>
        <w:rPr>
          <w:sz w:val="24"/>
          <w:szCs w:val="24"/>
        </w:rPr>
        <w:t>的建设</w:t>
      </w:r>
      <w:r w:rsidR="00AE11D3">
        <w:rPr>
          <w:rFonts w:hint="eastAsia"/>
          <w:sz w:val="24"/>
          <w:szCs w:val="24"/>
        </w:rPr>
        <w:t>利用</w:t>
      </w:r>
      <w:r w:rsidR="00F74C7E">
        <w:rPr>
          <w:rFonts w:hint="eastAsia"/>
          <w:sz w:val="24"/>
          <w:szCs w:val="24"/>
        </w:rPr>
        <w:t>可能性</w:t>
      </w:r>
      <w:r w:rsidR="00AE11D3">
        <w:rPr>
          <w:rFonts w:hint="eastAsia"/>
          <w:sz w:val="24"/>
          <w:szCs w:val="24"/>
        </w:rPr>
        <w:t>，</w:t>
      </w:r>
      <w:r w:rsidR="00F74C7E">
        <w:rPr>
          <w:rFonts w:hint="eastAsia"/>
          <w:sz w:val="24"/>
          <w:szCs w:val="24"/>
        </w:rPr>
        <w:t>将关闭矿井分为</w:t>
      </w:r>
      <w:r w:rsidR="00F74C7E" w:rsidRPr="00F74C7E">
        <w:rPr>
          <w:rFonts w:hint="eastAsia"/>
          <w:sz w:val="24"/>
          <w:szCs w:val="24"/>
        </w:rPr>
        <w:t>Ⅰ</w:t>
      </w:r>
      <w:r w:rsidR="00F74C7E">
        <w:rPr>
          <w:rFonts w:hint="eastAsia"/>
          <w:sz w:val="24"/>
          <w:szCs w:val="24"/>
        </w:rPr>
        <w:t>级、</w:t>
      </w:r>
      <w:r w:rsidR="00F74C7E" w:rsidRPr="00F74C7E">
        <w:rPr>
          <w:rFonts w:hint="eastAsia"/>
          <w:sz w:val="24"/>
          <w:szCs w:val="24"/>
        </w:rPr>
        <w:t>Ⅱ</w:t>
      </w:r>
      <w:r w:rsidR="00F74C7E">
        <w:rPr>
          <w:rFonts w:hint="eastAsia"/>
          <w:sz w:val="24"/>
          <w:szCs w:val="24"/>
        </w:rPr>
        <w:t>级、</w:t>
      </w:r>
      <w:r w:rsidR="00F74C7E" w:rsidRPr="00F74C7E">
        <w:rPr>
          <w:rFonts w:hint="eastAsia"/>
          <w:sz w:val="24"/>
          <w:szCs w:val="24"/>
        </w:rPr>
        <w:t>Ⅲ</w:t>
      </w:r>
      <w:r w:rsidR="00F74C7E">
        <w:rPr>
          <w:rFonts w:hint="eastAsia"/>
          <w:sz w:val="24"/>
          <w:szCs w:val="24"/>
        </w:rPr>
        <w:t>级，对应必须监测、应当监测和适当监测（见表</w:t>
      </w:r>
      <w:r w:rsidR="00F74C7E">
        <w:rPr>
          <w:rFonts w:hint="eastAsia"/>
          <w:sz w:val="24"/>
          <w:szCs w:val="24"/>
        </w:rPr>
        <w:t>3</w:t>
      </w:r>
      <w:r w:rsidR="00F74C7E">
        <w:rPr>
          <w:rFonts w:hint="eastAsia"/>
          <w:sz w:val="24"/>
          <w:szCs w:val="24"/>
        </w:rPr>
        <w:t>）</w:t>
      </w:r>
      <w:r w:rsidR="00142735">
        <w:rPr>
          <w:rFonts w:hint="eastAsia"/>
          <w:sz w:val="24"/>
          <w:szCs w:val="24"/>
        </w:rPr>
        <w:t>，这样既保障</w:t>
      </w:r>
      <w:r w:rsidR="00142735">
        <w:rPr>
          <w:sz w:val="24"/>
          <w:szCs w:val="24"/>
        </w:rPr>
        <w:t>了重点对象、重点区域的安全</w:t>
      </w:r>
      <w:r w:rsidR="00142735">
        <w:rPr>
          <w:rFonts w:hint="eastAsia"/>
          <w:sz w:val="24"/>
          <w:szCs w:val="24"/>
        </w:rPr>
        <w:t>监测，</w:t>
      </w:r>
      <w:r w:rsidR="00142735">
        <w:rPr>
          <w:sz w:val="24"/>
          <w:szCs w:val="24"/>
        </w:rPr>
        <w:t>又避免了不必要</w:t>
      </w:r>
      <w:r w:rsidR="00142735">
        <w:rPr>
          <w:rFonts w:hint="eastAsia"/>
          <w:sz w:val="24"/>
          <w:szCs w:val="24"/>
        </w:rPr>
        <w:t>的监测</w:t>
      </w:r>
      <w:r w:rsidR="00142735">
        <w:rPr>
          <w:sz w:val="24"/>
          <w:szCs w:val="24"/>
        </w:rPr>
        <w:t>工作</w:t>
      </w:r>
      <w:r w:rsidR="00142735">
        <w:rPr>
          <w:rFonts w:hint="eastAsia"/>
          <w:sz w:val="24"/>
          <w:szCs w:val="24"/>
        </w:rPr>
        <w:t>。</w:t>
      </w:r>
    </w:p>
    <w:p w:rsidR="00F74C7E" w:rsidRDefault="00F74C7E" w:rsidP="00F74C7E">
      <w:pPr>
        <w:spacing w:line="360" w:lineRule="auto"/>
        <w:rPr>
          <w:sz w:val="24"/>
          <w:szCs w:val="24"/>
        </w:rPr>
      </w:pPr>
      <w:r w:rsidRPr="00F74C7E">
        <w:rPr>
          <w:rFonts w:hint="eastAsia"/>
          <w:sz w:val="24"/>
          <w:szCs w:val="24"/>
        </w:rPr>
        <w:t>表</w:t>
      </w:r>
      <w:r w:rsidRPr="00F74C7E">
        <w:rPr>
          <w:sz w:val="24"/>
          <w:szCs w:val="24"/>
        </w:rPr>
        <w:t>3</w:t>
      </w:r>
      <w:r w:rsidRPr="00F74C7E">
        <w:rPr>
          <w:rFonts w:hint="eastAsia"/>
          <w:sz w:val="24"/>
          <w:szCs w:val="24"/>
        </w:rPr>
        <w:t>关闭矿井监测类型</w:t>
      </w:r>
    </w:p>
    <w:tbl>
      <w:tblPr>
        <w:tblStyle w:val="a3"/>
        <w:tblW w:w="0" w:type="auto"/>
        <w:tblLook w:val="04A0"/>
      </w:tblPr>
      <w:tblGrid>
        <w:gridCol w:w="1157"/>
        <w:gridCol w:w="4656"/>
        <w:gridCol w:w="2485"/>
      </w:tblGrid>
      <w:tr w:rsidR="00F74C7E" w:rsidRPr="00F2180A" w:rsidTr="00544918">
        <w:trPr>
          <w:trHeight w:val="826"/>
        </w:trPr>
        <w:tc>
          <w:tcPr>
            <w:tcW w:w="1157" w:type="dxa"/>
            <w:vAlign w:val="center"/>
          </w:tcPr>
          <w:p w:rsidR="00F74C7E" w:rsidRPr="00F2180A" w:rsidRDefault="00F74C7E" w:rsidP="00544918">
            <w:pPr>
              <w:spacing w:line="400" w:lineRule="exact"/>
              <w:rPr>
                <w:rFonts w:ascii="Times New Roman" w:hAnsi="Times New Roman"/>
                <w:szCs w:val="21"/>
              </w:rPr>
            </w:pPr>
            <w:r w:rsidRPr="00F2180A">
              <w:rPr>
                <w:rFonts w:ascii="Times New Roman" w:hAnsi="Times New Roman" w:hint="eastAsia"/>
                <w:szCs w:val="21"/>
              </w:rPr>
              <w:t>矿井</w:t>
            </w:r>
            <w:r>
              <w:rPr>
                <w:rFonts w:ascii="Times New Roman" w:hAnsi="Times New Roman" w:hint="eastAsia"/>
                <w:szCs w:val="21"/>
              </w:rPr>
              <w:t>类型</w:t>
            </w:r>
          </w:p>
        </w:tc>
        <w:tc>
          <w:tcPr>
            <w:tcW w:w="4656" w:type="dxa"/>
            <w:vAlign w:val="center"/>
          </w:tcPr>
          <w:p w:rsidR="00F74C7E" w:rsidRPr="00F2180A" w:rsidRDefault="00F74C7E" w:rsidP="00544918">
            <w:pPr>
              <w:spacing w:line="400" w:lineRule="exact"/>
              <w:jc w:val="center"/>
              <w:rPr>
                <w:rFonts w:ascii="Times New Roman" w:hAnsi="Times New Roman"/>
                <w:szCs w:val="21"/>
              </w:rPr>
            </w:pPr>
            <w:r w:rsidRPr="00F2180A">
              <w:rPr>
                <w:rFonts w:ascii="Times New Roman" w:hAnsi="Times New Roman" w:hint="eastAsia"/>
                <w:szCs w:val="21"/>
              </w:rPr>
              <w:t>分级条件</w:t>
            </w:r>
          </w:p>
        </w:tc>
        <w:tc>
          <w:tcPr>
            <w:tcW w:w="2485" w:type="dxa"/>
            <w:vAlign w:val="center"/>
          </w:tcPr>
          <w:p w:rsidR="00F74C7E" w:rsidRPr="00F2180A" w:rsidRDefault="00F74C7E" w:rsidP="00544918">
            <w:pPr>
              <w:spacing w:line="400" w:lineRule="exact"/>
              <w:jc w:val="center"/>
              <w:rPr>
                <w:rFonts w:ascii="Times New Roman" w:hAnsi="Times New Roman"/>
                <w:szCs w:val="21"/>
              </w:rPr>
            </w:pPr>
            <w:r w:rsidRPr="00F2180A">
              <w:rPr>
                <w:rFonts w:ascii="Times New Roman" w:hAnsi="Times New Roman" w:hint="eastAsia"/>
                <w:szCs w:val="21"/>
              </w:rPr>
              <w:t>监测内容</w:t>
            </w:r>
            <w:r>
              <w:rPr>
                <w:rFonts w:ascii="Times New Roman" w:hAnsi="Times New Roman" w:hint="eastAsia"/>
                <w:szCs w:val="21"/>
              </w:rPr>
              <w:t>与方法</w:t>
            </w:r>
          </w:p>
        </w:tc>
      </w:tr>
      <w:tr w:rsidR="00F74C7E" w:rsidRPr="00F2180A" w:rsidTr="00544918">
        <w:trPr>
          <w:trHeight w:val="1269"/>
        </w:trPr>
        <w:tc>
          <w:tcPr>
            <w:tcW w:w="1157" w:type="dxa"/>
            <w:vAlign w:val="center"/>
          </w:tcPr>
          <w:p w:rsidR="00F74C7E" w:rsidRDefault="00F74C7E" w:rsidP="00544918">
            <w:pPr>
              <w:jc w:val="center"/>
              <w:rPr>
                <w:rFonts w:ascii="Times New Roman" w:hAnsi="Times New Roman"/>
                <w:szCs w:val="21"/>
              </w:rPr>
            </w:pPr>
            <w:r>
              <w:rPr>
                <w:rFonts w:ascii="Times New Roman" w:hAnsi="Times New Roman" w:hint="eastAsia"/>
                <w:szCs w:val="21"/>
              </w:rPr>
              <w:t>Ⅰ</w:t>
            </w:r>
          </w:p>
          <w:p w:rsidR="00F74C7E" w:rsidRPr="00F2180A" w:rsidRDefault="00F74C7E" w:rsidP="00544918">
            <w:pPr>
              <w:jc w:val="center"/>
              <w:rPr>
                <w:rFonts w:ascii="Times New Roman" w:hAnsi="Times New Roman"/>
                <w:szCs w:val="21"/>
              </w:rPr>
            </w:pPr>
            <w:r>
              <w:rPr>
                <w:rFonts w:ascii="Times New Roman" w:hAnsi="Times New Roman" w:hint="eastAsia"/>
                <w:szCs w:val="21"/>
              </w:rPr>
              <w:t>（必须监测）</w:t>
            </w:r>
          </w:p>
        </w:tc>
        <w:tc>
          <w:tcPr>
            <w:tcW w:w="4656" w:type="dxa"/>
            <w:vAlign w:val="center"/>
          </w:tcPr>
          <w:p w:rsidR="00F74C7E" w:rsidRPr="00F2180A" w:rsidRDefault="00F74C7E" w:rsidP="00544918">
            <w:pPr>
              <w:rPr>
                <w:rFonts w:ascii="Times New Roman" w:hAnsi="Times New Roman"/>
                <w:szCs w:val="21"/>
              </w:rPr>
            </w:pPr>
            <w:r>
              <w:rPr>
                <w:rFonts w:ascii="Times New Roman" w:hAnsi="Times New Roman" w:hint="eastAsia"/>
                <w:szCs w:val="21"/>
              </w:rPr>
              <w:t>开采影响区内</w:t>
            </w:r>
            <w:r w:rsidRPr="00F2180A">
              <w:rPr>
                <w:rFonts w:ascii="Times New Roman" w:hAnsi="Times New Roman" w:hint="eastAsia"/>
                <w:szCs w:val="21"/>
              </w:rPr>
              <w:t>有特级、Ⅰ级保护对象的矿井；</w:t>
            </w:r>
            <w:r>
              <w:rPr>
                <w:rFonts w:ascii="Times New Roman" w:hAnsi="Times New Roman" w:hint="eastAsia"/>
                <w:szCs w:val="21"/>
              </w:rPr>
              <w:t>位于</w:t>
            </w:r>
            <w:r w:rsidRPr="00F2180A">
              <w:rPr>
                <w:rFonts w:ascii="Times New Roman" w:hAnsi="Times New Roman" w:hint="eastAsia"/>
                <w:szCs w:val="21"/>
              </w:rPr>
              <w:t>城市建设规划区内的矿井；有大型地质灾害隐患的矿井；具有</w:t>
            </w:r>
            <w:r>
              <w:rPr>
                <w:rFonts w:ascii="Times New Roman" w:hAnsi="Times New Roman" w:hint="eastAsia"/>
                <w:szCs w:val="21"/>
              </w:rPr>
              <w:t>突</w:t>
            </w:r>
            <w:r w:rsidRPr="00F2180A">
              <w:rPr>
                <w:rFonts w:ascii="Times New Roman" w:hAnsi="Times New Roman" w:hint="eastAsia"/>
                <w:szCs w:val="21"/>
              </w:rPr>
              <w:t>陷风险的柱式开采矿井等。</w:t>
            </w:r>
          </w:p>
        </w:tc>
        <w:tc>
          <w:tcPr>
            <w:tcW w:w="2485" w:type="dxa"/>
            <w:vAlign w:val="center"/>
          </w:tcPr>
          <w:p w:rsidR="00F74C7E" w:rsidRPr="00F2180A" w:rsidRDefault="00F74C7E" w:rsidP="00544918">
            <w:pPr>
              <w:rPr>
                <w:rFonts w:ascii="Times New Roman" w:hAnsi="Times New Roman"/>
                <w:szCs w:val="21"/>
              </w:rPr>
            </w:pPr>
            <w:r w:rsidRPr="00F2180A">
              <w:rPr>
                <w:rFonts w:ascii="Times New Roman" w:hAnsi="Times New Roman" w:hint="eastAsia"/>
                <w:szCs w:val="21"/>
              </w:rPr>
              <w:t>地面垂直、水平位移监测；地下水位测量，必要时进行岩体内部移动监测</w:t>
            </w:r>
          </w:p>
        </w:tc>
      </w:tr>
      <w:tr w:rsidR="00F74C7E" w:rsidRPr="00F2180A" w:rsidTr="00544918">
        <w:trPr>
          <w:trHeight w:val="1232"/>
        </w:trPr>
        <w:tc>
          <w:tcPr>
            <w:tcW w:w="1157" w:type="dxa"/>
            <w:vAlign w:val="center"/>
          </w:tcPr>
          <w:p w:rsidR="00F74C7E" w:rsidRDefault="00F74C7E" w:rsidP="00544918">
            <w:pPr>
              <w:jc w:val="center"/>
              <w:rPr>
                <w:rFonts w:ascii="Times New Roman" w:hAnsi="Times New Roman"/>
                <w:szCs w:val="21"/>
              </w:rPr>
            </w:pPr>
            <w:r>
              <w:rPr>
                <w:rFonts w:ascii="Times New Roman" w:hAnsi="Times New Roman" w:hint="eastAsia"/>
                <w:szCs w:val="21"/>
              </w:rPr>
              <w:t>Ⅱ</w:t>
            </w:r>
          </w:p>
          <w:p w:rsidR="00F74C7E" w:rsidRPr="00F2180A" w:rsidRDefault="00F74C7E" w:rsidP="00544918">
            <w:pPr>
              <w:jc w:val="center"/>
              <w:rPr>
                <w:rFonts w:ascii="Times New Roman" w:hAnsi="Times New Roman"/>
                <w:szCs w:val="21"/>
              </w:rPr>
            </w:pPr>
            <w:r>
              <w:rPr>
                <w:rFonts w:ascii="Times New Roman" w:hAnsi="Times New Roman" w:hint="eastAsia"/>
                <w:szCs w:val="21"/>
              </w:rPr>
              <w:t>（应当监测）</w:t>
            </w:r>
          </w:p>
        </w:tc>
        <w:tc>
          <w:tcPr>
            <w:tcW w:w="4656" w:type="dxa"/>
            <w:vAlign w:val="center"/>
          </w:tcPr>
          <w:p w:rsidR="00F74C7E" w:rsidRPr="00F2180A" w:rsidRDefault="00F74C7E" w:rsidP="00544918">
            <w:pPr>
              <w:rPr>
                <w:rFonts w:ascii="Times New Roman" w:hAnsi="Times New Roman"/>
                <w:szCs w:val="21"/>
              </w:rPr>
            </w:pPr>
            <w:r w:rsidRPr="00F2180A">
              <w:rPr>
                <w:rFonts w:ascii="Times New Roman" w:hAnsi="Times New Roman" w:hint="eastAsia"/>
                <w:szCs w:val="21"/>
              </w:rPr>
              <w:t>开采影响区上方有Ⅱ、Ⅲ级保护对象的矿井；位于城市建设规划区外但</w:t>
            </w:r>
            <w:r>
              <w:rPr>
                <w:rFonts w:ascii="Times New Roman" w:hAnsi="Times New Roman" w:hint="eastAsia"/>
                <w:szCs w:val="21"/>
              </w:rPr>
              <w:t>距离</w:t>
            </w:r>
            <w:r w:rsidRPr="00F2180A">
              <w:rPr>
                <w:rFonts w:ascii="Times New Roman" w:hAnsi="Times New Roman" w:hint="eastAsia"/>
                <w:szCs w:val="21"/>
              </w:rPr>
              <w:t>小于</w:t>
            </w:r>
            <w:r w:rsidRPr="00F2180A">
              <w:rPr>
                <w:rFonts w:ascii="Times New Roman" w:hAnsi="Times New Roman"/>
                <w:szCs w:val="21"/>
              </w:rPr>
              <w:t>10</w:t>
            </w:r>
            <w:r w:rsidRPr="00F2180A">
              <w:rPr>
                <w:rFonts w:ascii="Times New Roman" w:hAnsi="Times New Roman" w:hint="eastAsia"/>
                <w:szCs w:val="21"/>
              </w:rPr>
              <w:t>公里内的矿井；有中、小型地质灾害隐患的矿井；具有无</w:t>
            </w:r>
            <w:r>
              <w:rPr>
                <w:rFonts w:ascii="Times New Roman" w:hAnsi="Times New Roman" w:hint="eastAsia"/>
                <w:szCs w:val="21"/>
              </w:rPr>
              <w:t>突</w:t>
            </w:r>
            <w:r w:rsidRPr="00F2180A">
              <w:rPr>
                <w:rFonts w:ascii="Times New Roman" w:hAnsi="Times New Roman" w:hint="eastAsia"/>
                <w:szCs w:val="21"/>
              </w:rPr>
              <w:t>陷风险的柱式开采矿井等。</w:t>
            </w:r>
          </w:p>
        </w:tc>
        <w:tc>
          <w:tcPr>
            <w:tcW w:w="2485" w:type="dxa"/>
            <w:vAlign w:val="center"/>
          </w:tcPr>
          <w:p w:rsidR="00F74C7E" w:rsidRPr="00F2180A" w:rsidRDefault="00F74C7E" w:rsidP="00544918">
            <w:pPr>
              <w:rPr>
                <w:rFonts w:ascii="Times New Roman" w:hAnsi="Times New Roman"/>
                <w:szCs w:val="21"/>
              </w:rPr>
            </w:pPr>
            <w:r w:rsidRPr="00F2180A">
              <w:rPr>
                <w:rFonts w:ascii="Times New Roman" w:hAnsi="Times New Roman" w:hint="eastAsia"/>
                <w:szCs w:val="21"/>
              </w:rPr>
              <w:t>以地面垂直位移监测或航空航天遥感监测为主；必要时进行地下水位测量。</w:t>
            </w:r>
          </w:p>
        </w:tc>
      </w:tr>
      <w:tr w:rsidR="00F74C7E" w:rsidRPr="00F2180A" w:rsidTr="00544918">
        <w:trPr>
          <w:trHeight w:val="910"/>
        </w:trPr>
        <w:tc>
          <w:tcPr>
            <w:tcW w:w="1157" w:type="dxa"/>
            <w:vAlign w:val="center"/>
          </w:tcPr>
          <w:p w:rsidR="00F74C7E" w:rsidRDefault="00F74C7E" w:rsidP="00544918">
            <w:pPr>
              <w:jc w:val="center"/>
              <w:rPr>
                <w:rFonts w:ascii="Times New Roman" w:hAnsi="Times New Roman"/>
                <w:szCs w:val="21"/>
              </w:rPr>
            </w:pPr>
            <w:r>
              <w:rPr>
                <w:rFonts w:ascii="Times New Roman" w:hAnsi="Times New Roman" w:hint="eastAsia"/>
                <w:szCs w:val="21"/>
              </w:rPr>
              <w:t>Ⅲ</w:t>
            </w:r>
          </w:p>
          <w:p w:rsidR="00F74C7E" w:rsidRPr="00F2180A" w:rsidRDefault="00F74C7E" w:rsidP="00544918">
            <w:pPr>
              <w:jc w:val="center"/>
              <w:rPr>
                <w:rFonts w:ascii="Times New Roman" w:hAnsi="Times New Roman"/>
                <w:szCs w:val="21"/>
              </w:rPr>
            </w:pPr>
            <w:r>
              <w:rPr>
                <w:rFonts w:ascii="Times New Roman" w:hAnsi="Times New Roman" w:hint="eastAsia"/>
                <w:szCs w:val="21"/>
              </w:rPr>
              <w:t>（适当监测）</w:t>
            </w:r>
          </w:p>
        </w:tc>
        <w:tc>
          <w:tcPr>
            <w:tcW w:w="4656" w:type="dxa"/>
            <w:vAlign w:val="center"/>
          </w:tcPr>
          <w:p w:rsidR="00F74C7E" w:rsidRPr="00F2180A" w:rsidRDefault="00F74C7E" w:rsidP="00544918">
            <w:pPr>
              <w:rPr>
                <w:rFonts w:ascii="Times New Roman" w:hAnsi="Times New Roman"/>
                <w:szCs w:val="21"/>
              </w:rPr>
            </w:pPr>
            <w:r w:rsidRPr="00F2180A">
              <w:rPr>
                <w:rFonts w:ascii="Times New Roman" w:hAnsi="Times New Roman" w:hint="eastAsia"/>
                <w:szCs w:val="21"/>
              </w:rPr>
              <w:t>开采影响上方仅有Ⅳ级以下保护对象的矿井；位于城市建设规划区</w:t>
            </w:r>
            <w:r w:rsidRPr="00F2180A">
              <w:rPr>
                <w:rFonts w:ascii="Times New Roman" w:hAnsi="Times New Roman"/>
                <w:szCs w:val="21"/>
              </w:rPr>
              <w:t>10</w:t>
            </w:r>
            <w:r w:rsidRPr="00F2180A">
              <w:rPr>
                <w:rFonts w:ascii="Times New Roman" w:hAnsi="Times New Roman" w:hint="eastAsia"/>
                <w:szCs w:val="21"/>
              </w:rPr>
              <w:t>公里外的矿井；无地质灾害隐患的矿井等。</w:t>
            </w:r>
          </w:p>
        </w:tc>
        <w:tc>
          <w:tcPr>
            <w:tcW w:w="2485" w:type="dxa"/>
            <w:vAlign w:val="center"/>
          </w:tcPr>
          <w:p w:rsidR="00F74C7E" w:rsidRPr="00F2180A" w:rsidRDefault="00F74C7E" w:rsidP="00544918">
            <w:pPr>
              <w:rPr>
                <w:rFonts w:ascii="Times New Roman" w:hAnsi="Times New Roman"/>
                <w:szCs w:val="21"/>
              </w:rPr>
            </w:pPr>
            <w:r w:rsidRPr="00F2180A">
              <w:rPr>
                <w:rFonts w:ascii="Times New Roman" w:hAnsi="Times New Roman" w:hint="eastAsia"/>
                <w:szCs w:val="21"/>
              </w:rPr>
              <w:t>可以不监测或适当采用航空航天遥感方法监测</w:t>
            </w:r>
          </w:p>
        </w:tc>
      </w:tr>
    </w:tbl>
    <w:p w:rsidR="00F74C7E" w:rsidRPr="00F74C7E" w:rsidRDefault="00F74C7E" w:rsidP="00C62053">
      <w:pPr>
        <w:spacing w:line="360" w:lineRule="auto"/>
        <w:ind w:firstLineChars="177" w:firstLine="425"/>
        <w:rPr>
          <w:sz w:val="24"/>
          <w:szCs w:val="24"/>
        </w:rPr>
      </w:pPr>
    </w:p>
    <w:p w:rsidR="005A05B7" w:rsidRDefault="005A05B7" w:rsidP="00C62053">
      <w:pPr>
        <w:spacing w:line="360" w:lineRule="auto"/>
        <w:ind w:firstLineChars="177" w:firstLine="425"/>
        <w:rPr>
          <w:sz w:val="24"/>
          <w:szCs w:val="24"/>
        </w:rPr>
      </w:pPr>
      <w:r>
        <w:rPr>
          <w:rFonts w:hint="eastAsia"/>
          <w:sz w:val="24"/>
          <w:szCs w:val="24"/>
        </w:rPr>
        <w:t>对于</w:t>
      </w:r>
      <w:r>
        <w:rPr>
          <w:sz w:val="24"/>
          <w:szCs w:val="24"/>
        </w:rPr>
        <w:t>关闭井工矿次生沉陷预测</w:t>
      </w:r>
      <w:r>
        <w:rPr>
          <w:rFonts w:hint="eastAsia"/>
          <w:sz w:val="24"/>
          <w:szCs w:val="24"/>
        </w:rPr>
        <w:t>面前</w:t>
      </w:r>
      <w:r>
        <w:rPr>
          <w:sz w:val="24"/>
          <w:szCs w:val="24"/>
        </w:rPr>
        <w:t>尚无完善的方法，</w:t>
      </w:r>
      <w:r>
        <w:rPr>
          <w:rFonts w:hint="eastAsia"/>
          <w:sz w:val="24"/>
          <w:szCs w:val="24"/>
        </w:rPr>
        <w:t>国内外</w:t>
      </w:r>
      <w:r>
        <w:rPr>
          <w:sz w:val="24"/>
          <w:szCs w:val="24"/>
        </w:rPr>
        <w:t>大量文献</w:t>
      </w:r>
      <w:r w:rsidR="00A02767">
        <w:rPr>
          <w:rFonts w:hint="eastAsia"/>
          <w:sz w:val="24"/>
          <w:szCs w:val="24"/>
        </w:rPr>
        <w:t>研究</w:t>
      </w:r>
      <w:r>
        <w:rPr>
          <w:rFonts w:hint="eastAsia"/>
          <w:sz w:val="24"/>
          <w:szCs w:val="24"/>
        </w:rPr>
        <w:t>表明</w:t>
      </w:r>
      <w:r>
        <w:rPr>
          <w:sz w:val="24"/>
          <w:szCs w:val="24"/>
        </w:rPr>
        <w:t>，关闭井工矿次生沉陷与地下水位、开采煤层厚度等有关，</w:t>
      </w:r>
      <w:r w:rsidR="0066515F">
        <w:rPr>
          <w:rFonts w:hint="eastAsia"/>
          <w:sz w:val="24"/>
          <w:szCs w:val="24"/>
        </w:rPr>
        <w:t>总结</w:t>
      </w:r>
      <w:r>
        <w:rPr>
          <w:rFonts w:hint="eastAsia"/>
          <w:sz w:val="24"/>
          <w:szCs w:val="24"/>
        </w:rPr>
        <w:t>给出了</w:t>
      </w:r>
      <w:r>
        <w:rPr>
          <w:sz w:val="24"/>
          <w:szCs w:val="24"/>
        </w:rPr>
        <w:t>国</w:t>
      </w:r>
      <w:r>
        <w:rPr>
          <w:rFonts w:hint="eastAsia"/>
          <w:sz w:val="24"/>
          <w:szCs w:val="24"/>
        </w:rPr>
        <w:t>内</w:t>
      </w:r>
      <w:r>
        <w:rPr>
          <w:sz w:val="24"/>
          <w:szCs w:val="24"/>
        </w:rPr>
        <w:t>外</w:t>
      </w:r>
      <w:r w:rsidR="00F96DA4">
        <w:rPr>
          <w:sz w:val="24"/>
          <w:szCs w:val="24"/>
        </w:rPr>
        <w:t>长壁</w:t>
      </w:r>
      <w:r w:rsidR="00F96DA4">
        <w:rPr>
          <w:rFonts w:hint="eastAsia"/>
          <w:sz w:val="24"/>
          <w:szCs w:val="24"/>
        </w:rPr>
        <w:t>垮落法</w:t>
      </w:r>
      <w:r w:rsidR="00F96DA4">
        <w:rPr>
          <w:sz w:val="24"/>
          <w:szCs w:val="24"/>
        </w:rPr>
        <w:t>开采</w:t>
      </w:r>
      <w:r>
        <w:rPr>
          <w:rFonts w:hint="eastAsia"/>
          <w:sz w:val="24"/>
          <w:szCs w:val="24"/>
        </w:rPr>
        <w:t>关闭井工矿</w:t>
      </w:r>
      <w:r w:rsidR="00F96DA4">
        <w:rPr>
          <w:rFonts w:hint="eastAsia"/>
          <w:sz w:val="24"/>
          <w:szCs w:val="24"/>
        </w:rPr>
        <w:t>地表</w:t>
      </w:r>
      <w:r w:rsidR="00A02767">
        <w:rPr>
          <w:rFonts w:hint="eastAsia"/>
          <w:sz w:val="24"/>
          <w:szCs w:val="24"/>
        </w:rPr>
        <w:t>上升</w:t>
      </w:r>
      <w:r>
        <w:rPr>
          <w:sz w:val="24"/>
          <w:szCs w:val="24"/>
        </w:rPr>
        <w:t>与地下水位的关系，</w:t>
      </w:r>
      <w:r>
        <w:rPr>
          <w:rFonts w:hint="eastAsia"/>
          <w:sz w:val="24"/>
          <w:szCs w:val="24"/>
        </w:rPr>
        <w:t>并建议</w:t>
      </w:r>
      <w:r>
        <w:rPr>
          <w:sz w:val="24"/>
          <w:szCs w:val="24"/>
        </w:rPr>
        <w:t>采用前期观测数据或</w:t>
      </w:r>
      <w:r w:rsidR="00142735">
        <w:rPr>
          <w:rFonts w:hint="eastAsia"/>
          <w:sz w:val="24"/>
          <w:szCs w:val="24"/>
        </w:rPr>
        <w:t>相似</w:t>
      </w:r>
      <w:r>
        <w:rPr>
          <w:sz w:val="24"/>
          <w:szCs w:val="24"/>
        </w:rPr>
        <w:t>矿区</w:t>
      </w:r>
      <w:r w:rsidR="00142735">
        <w:rPr>
          <w:rFonts w:hint="eastAsia"/>
          <w:sz w:val="24"/>
          <w:szCs w:val="24"/>
        </w:rPr>
        <w:t>监测</w:t>
      </w:r>
      <w:r>
        <w:rPr>
          <w:sz w:val="24"/>
          <w:szCs w:val="24"/>
        </w:rPr>
        <w:t>数据</w:t>
      </w:r>
      <w:r>
        <w:rPr>
          <w:rFonts w:hint="eastAsia"/>
          <w:sz w:val="24"/>
          <w:szCs w:val="24"/>
        </w:rPr>
        <w:t>确定相关</w:t>
      </w:r>
      <w:r>
        <w:rPr>
          <w:sz w:val="24"/>
          <w:szCs w:val="24"/>
        </w:rPr>
        <w:t>系数，同时，</w:t>
      </w:r>
      <w:r w:rsidR="00A02767">
        <w:rPr>
          <w:rFonts w:hint="eastAsia"/>
          <w:sz w:val="24"/>
          <w:szCs w:val="24"/>
        </w:rPr>
        <w:t>在</w:t>
      </w:r>
      <w:r>
        <w:rPr>
          <w:rFonts w:hint="eastAsia"/>
          <w:sz w:val="24"/>
          <w:szCs w:val="24"/>
        </w:rPr>
        <w:t>附录</w:t>
      </w:r>
      <w:r>
        <w:rPr>
          <w:sz w:val="24"/>
          <w:szCs w:val="24"/>
        </w:rPr>
        <w:t>B</w:t>
      </w:r>
      <w:r w:rsidR="00A02767">
        <w:rPr>
          <w:rFonts w:hint="eastAsia"/>
          <w:sz w:val="24"/>
          <w:szCs w:val="24"/>
        </w:rPr>
        <w:t>中</w:t>
      </w:r>
      <w:r>
        <w:rPr>
          <w:sz w:val="24"/>
          <w:szCs w:val="24"/>
        </w:rPr>
        <w:t>给出了</w:t>
      </w:r>
      <w:r w:rsidR="00A02767" w:rsidRPr="00A02767">
        <w:rPr>
          <w:sz w:val="24"/>
          <w:szCs w:val="24"/>
        </w:rPr>
        <w:t>关闭井工矿次生沉陷</w:t>
      </w:r>
      <w:r w:rsidR="00A02767">
        <w:rPr>
          <w:rFonts w:hint="eastAsia"/>
          <w:sz w:val="24"/>
          <w:szCs w:val="24"/>
        </w:rPr>
        <w:t>参考</w:t>
      </w:r>
      <w:r w:rsidR="00A02767" w:rsidRPr="00A02767">
        <w:rPr>
          <w:sz w:val="24"/>
          <w:szCs w:val="24"/>
        </w:rPr>
        <w:t>计算方法</w:t>
      </w:r>
      <w:r w:rsidR="00A02767">
        <w:rPr>
          <w:rFonts w:hint="eastAsia"/>
          <w:sz w:val="24"/>
          <w:szCs w:val="24"/>
        </w:rPr>
        <w:t>，但</w:t>
      </w:r>
      <w:r w:rsidR="00A02767">
        <w:rPr>
          <w:sz w:val="24"/>
          <w:szCs w:val="24"/>
        </w:rPr>
        <w:t>该方法</w:t>
      </w:r>
      <w:r w:rsidR="00142735">
        <w:rPr>
          <w:rFonts w:hint="eastAsia"/>
          <w:sz w:val="24"/>
          <w:szCs w:val="24"/>
        </w:rPr>
        <w:t>经徐州东西部矿区关闭矿井地表次生沉陷预测与实测数据比较证明了方法的可靠性，但考虑到应用的矿井较少，</w:t>
      </w:r>
      <w:r w:rsidR="00A02767">
        <w:rPr>
          <w:rFonts w:hint="eastAsia"/>
          <w:sz w:val="24"/>
          <w:szCs w:val="24"/>
        </w:rPr>
        <w:t>未</w:t>
      </w:r>
      <w:r w:rsidR="00A02767">
        <w:rPr>
          <w:sz w:val="24"/>
          <w:szCs w:val="24"/>
        </w:rPr>
        <w:t>作为强制规定</w:t>
      </w:r>
      <w:r w:rsidR="00A02767">
        <w:rPr>
          <w:rFonts w:hint="eastAsia"/>
          <w:sz w:val="24"/>
          <w:szCs w:val="24"/>
        </w:rPr>
        <w:t>，仅</w:t>
      </w:r>
      <w:r w:rsidR="00A02767">
        <w:rPr>
          <w:sz w:val="24"/>
          <w:szCs w:val="24"/>
        </w:rPr>
        <w:t>作为参考</w:t>
      </w:r>
      <w:r w:rsidR="00A02767">
        <w:rPr>
          <w:rFonts w:hint="eastAsia"/>
          <w:sz w:val="24"/>
          <w:szCs w:val="24"/>
        </w:rPr>
        <w:t>。</w:t>
      </w:r>
    </w:p>
    <w:p w:rsidR="00A02767" w:rsidRPr="00A02767" w:rsidRDefault="00A02767" w:rsidP="00C62053">
      <w:pPr>
        <w:spacing w:line="360" w:lineRule="auto"/>
        <w:ind w:firstLineChars="177" w:firstLine="425"/>
        <w:rPr>
          <w:sz w:val="24"/>
          <w:szCs w:val="24"/>
        </w:rPr>
      </w:pPr>
      <w:r>
        <w:rPr>
          <w:rFonts w:hint="eastAsia"/>
          <w:sz w:val="24"/>
          <w:szCs w:val="24"/>
        </w:rPr>
        <w:t>关闭</w:t>
      </w:r>
      <w:r>
        <w:rPr>
          <w:sz w:val="24"/>
          <w:szCs w:val="24"/>
        </w:rPr>
        <w:t>井工矿次生沉陷灾害评价</w:t>
      </w:r>
      <w:r>
        <w:rPr>
          <w:rFonts w:hint="eastAsia"/>
          <w:sz w:val="24"/>
          <w:szCs w:val="24"/>
        </w:rPr>
        <w:t>涉及</w:t>
      </w:r>
      <w:r w:rsidR="002D157C">
        <w:rPr>
          <w:rFonts w:hint="eastAsia"/>
          <w:sz w:val="24"/>
          <w:szCs w:val="24"/>
        </w:rPr>
        <w:t>到</w:t>
      </w:r>
      <w:r>
        <w:rPr>
          <w:sz w:val="24"/>
          <w:szCs w:val="24"/>
        </w:rPr>
        <w:t>评价对象损害评定指标</w:t>
      </w:r>
      <w:r>
        <w:rPr>
          <w:rFonts w:hint="eastAsia"/>
          <w:sz w:val="24"/>
          <w:szCs w:val="24"/>
        </w:rPr>
        <w:t>，</w:t>
      </w:r>
      <w:r>
        <w:rPr>
          <w:sz w:val="24"/>
          <w:szCs w:val="24"/>
        </w:rPr>
        <w:t>国内各</w:t>
      </w:r>
      <w:r>
        <w:rPr>
          <w:rFonts w:hint="eastAsia"/>
          <w:sz w:val="24"/>
          <w:szCs w:val="24"/>
        </w:rPr>
        <w:t>行业</w:t>
      </w:r>
      <w:r>
        <w:rPr>
          <w:sz w:val="24"/>
          <w:szCs w:val="24"/>
        </w:rPr>
        <w:t>进行了大量研究，形成</w:t>
      </w:r>
      <w:r w:rsidR="003120F4">
        <w:rPr>
          <w:rFonts w:hint="eastAsia"/>
          <w:sz w:val="24"/>
          <w:szCs w:val="24"/>
        </w:rPr>
        <w:t>了</w:t>
      </w:r>
      <w:r>
        <w:rPr>
          <w:sz w:val="24"/>
          <w:szCs w:val="24"/>
        </w:rPr>
        <w:t>相应的评价</w:t>
      </w:r>
      <w:r>
        <w:rPr>
          <w:rFonts w:hint="eastAsia"/>
          <w:sz w:val="24"/>
          <w:szCs w:val="24"/>
        </w:rPr>
        <w:t>指标体系</w:t>
      </w:r>
      <w:r>
        <w:rPr>
          <w:sz w:val="24"/>
          <w:szCs w:val="24"/>
        </w:rPr>
        <w:t>，</w:t>
      </w:r>
      <w:r>
        <w:rPr>
          <w:rFonts w:hint="eastAsia"/>
          <w:sz w:val="24"/>
          <w:szCs w:val="24"/>
        </w:rPr>
        <w:t>本标准采用</w:t>
      </w:r>
      <w:r>
        <w:rPr>
          <w:sz w:val="24"/>
          <w:szCs w:val="24"/>
        </w:rPr>
        <w:t>了</w:t>
      </w:r>
      <w:r w:rsidR="002D157C">
        <w:rPr>
          <w:rFonts w:hint="eastAsia"/>
          <w:sz w:val="24"/>
          <w:szCs w:val="24"/>
        </w:rPr>
        <w:t>这些</w:t>
      </w:r>
      <w:r w:rsidR="002D157C">
        <w:rPr>
          <w:sz w:val="24"/>
          <w:szCs w:val="24"/>
        </w:rPr>
        <w:t>评价指标。</w:t>
      </w:r>
    </w:p>
    <w:p w:rsidR="00D67DB0" w:rsidRDefault="00D67DB0" w:rsidP="000A2BB8">
      <w:pPr>
        <w:spacing w:line="360" w:lineRule="auto"/>
        <w:rPr>
          <w:sz w:val="24"/>
          <w:szCs w:val="24"/>
        </w:rPr>
      </w:pPr>
      <w:r w:rsidRPr="000A2BB8">
        <w:rPr>
          <w:rFonts w:hint="eastAsia"/>
          <w:sz w:val="24"/>
          <w:szCs w:val="24"/>
        </w:rPr>
        <w:t>三、主要试验（验证）的分析、综述报告，技术经济论证，预期的经济效果；</w:t>
      </w:r>
    </w:p>
    <w:p w:rsidR="00FB6142" w:rsidRPr="000A2BB8" w:rsidRDefault="00BD7BF7" w:rsidP="00FB6142">
      <w:pPr>
        <w:spacing w:line="360" w:lineRule="auto"/>
        <w:ind w:firstLineChars="177" w:firstLine="425"/>
        <w:rPr>
          <w:sz w:val="24"/>
          <w:szCs w:val="24"/>
        </w:rPr>
      </w:pPr>
      <w:r>
        <w:rPr>
          <w:rFonts w:hint="eastAsia"/>
          <w:sz w:val="24"/>
          <w:szCs w:val="24"/>
        </w:rPr>
        <w:t>收集了比利时、德国、荷兰、法国、英国、美国、日本等国外关闭井工矿实</w:t>
      </w:r>
      <w:r>
        <w:rPr>
          <w:rFonts w:hint="eastAsia"/>
          <w:sz w:val="24"/>
          <w:szCs w:val="24"/>
        </w:rPr>
        <w:lastRenderedPageBreak/>
        <w:t>测沉陷资料及对变化机理、规律、预测方法的研究</w:t>
      </w:r>
      <w:r w:rsidR="003120F4">
        <w:rPr>
          <w:rFonts w:hint="eastAsia"/>
          <w:sz w:val="24"/>
          <w:szCs w:val="24"/>
        </w:rPr>
        <w:t>文献</w:t>
      </w:r>
      <w:r>
        <w:rPr>
          <w:rFonts w:hint="eastAsia"/>
          <w:sz w:val="24"/>
          <w:szCs w:val="24"/>
        </w:rPr>
        <w:t>，表明关闭井工矿存在初期下沉、后期上升</w:t>
      </w:r>
      <w:r w:rsidR="0066515F">
        <w:rPr>
          <w:rFonts w:hint="eastAsia"/>
          <w:sz w:val="24"/>
          <w:szCs w:val="24"/>
        </w:rPr>
        <w:t>，次生沉陷量大小</w:t>
      </w:r>
      <w:r>
        <w:rPr>
          <w:rFonts w:hint="eastAsia"/>
          <w:sz w:val="24"/>
          <w:szCs w:val="24"/>
        </w:rPr>
        <w:t>与地下水位、开采厚度、开采方法、断层等</w:t>
      </w:r>
      <w:r w:rsidR="0066515F">
        <w:rPr>
          <w:rFonts w:hint="eastAsia"/>
          <w:sz w:val="24"/>
          <w:szCs w:val="24"/>
        </w:rPr>
        <w:t>有</w:t>
      </w:r>
      <w:r>
        <w:rPr>
          <w:rFonts w:hint="eastAsia"/>
          <w:sz w:val="24"/>
          <w:szCs w:val="24"/>
        </w:rPr>
        <w:t>关，编写组通过对徐州东西部矿区韩桥、旗山、权台、青山泉、庞庄、夹河、张小楼等</w:t>
      </w:r>
      <w:r w:rsidR="00953308">
        <w:rPr>
          <w:rFonts w:hint="eastAsia"/>
          <w:sz w:val="24"/>
          <w:szCs w:val="24"/>
        </w:rPr>
        <w:t>关闭</w:t>
      </w:r>
      <w:r>
        <w:rPr>
          <w:rFonts w:hint="eastAsia"/>
          <w:sz w:val="24"/>
          <w:szCs w:val="24"/>
        </w:rPr>
        <w:t>矿</w:t>
      </w:r>
      <w:r w:rsidR="00953308">
        <w:rPr>
          <w:rFonts w:hint="eastAsia"/>
          <w:sz w:val="24"/>
          <w:szCs w:val="24"/>
        </w:rPr>
        <w:t>井</w:t>
      </w:r>
      <w:r>
        <w:rPr>
          <w:rFonts w:hint="eastAsia"/>
          <w:sz w:val="24"/>
          <w:szCs w:val="24"/>
        </w:rPr>
        <w:t>地面</w:t>
      </w:r>
      <w:r w:rsidR="00953308">
        <w:rPr>
          <w:rFonts w:hint="eastAsia"/>
          <w:sz w:val="24"/>
          <w:szCs w:val="24"/>
        </w:rPr>
        <w:t>次生</w:t>
      </w:r>
      <w:r>
        <w:rPr>
          <w:rFonts w:hint="eastAsia"/>
          <w:sz w:val="24"/>
          <w:szCs w:val="24"/>
        </w:rPr>
        <w:t>沉陷的监测，获取了大量数据，研究了地面次生沉陷与地下水位、开采厚度、</w:t>
      </w:r>
      <w:r w:rsidR="003120F4">
        <w:rPr>
          <w:rFonts w:hint="eastAsia"/>
          <w:sz w:val="24"/>
          <w:szCs w:val="24"/>
        </w:rPr>
        <w:t>开采</w:t>
      </w:r>
      <w:r>
        <w:rPr>
          <w:rFonts w:hint="eastAsia"/>
          <w:sz w:val="24"/>
          <w:szCs w:val="24"/>
        </w:rPr>
        <w:t>煤层</w:t>
      </w:r>
      <w:r w:rsidR="003120F4">
        <w:rPr>
          <w:rFonts w:hint="eastAsia"/>
          <w:sz w:val="24"/>
          <w:szCs w:val="24"/>
        </w:rPr>
        <w:t>数</w:t>
      </w:r>
      <w:r>
        <w:rPr>
          <w:rFonts w:hint="eastAsia"/>
          <w:sz w:val="24"/>
          <w:szCs w:val="24"/>
        </w:rPr>
        <w:t>、柱式开采等的关系，为关闭井工矿地面</w:t>
      </w:r>
      <w:r w:rsidR="003120F4">
        <w:rPr>
          <w:rFonts w:hint="eastAsia"/>
          <w:sz w:val="24"/>
          <w:szCs w:val="24"/>
        </w:rPr>
        <w:t>次生沉陷</w:t>
      </w:r>
      <w:r w:rsidR="00C6369C" w:rsidRPr="00C62053">
        <w:rPr>
          <w:rFonts w:hint="eastAsia"/>
          <w:sz w:val="24"/>
          <w:szCs w:val="24"/>
        </w:rPr>
        <w:t>监测的内容、方法、精度、</w:t>
      </w:r>
      <w:r w:rsidR="00C6369C">
        <w:rPr>
          <w:rFonts w:hint="eastAsia"/>
          <w:sz w:val="24"/>
          <w:szCs w:val="24"/>
        </w:rPr>
        <w:t>频率</w:t>
      </w:r>
      <w:r w:rsidR="00C6369C" w:rsidRPr="00C62053">
        <w:rPr>
          <w:rFonts w:hint="eastAsia"/>
          <w:sz w:val="24"/>
          <w:szCs w:val="24"/>
        </w:rPr>
        <w:t>、范围</w:t>
      </w:r>
      <w:r w:rsidR="00C6369C">
        <w:rPr>
          <w:rFonts w:hint="eastAsia"/>
          <w:sz w:val="24"/>
          <w:szCs w:val="24"/>
        </w:rPr>
        <w:t>等确定提供</w:t>
      </w:r>
      <w:r w:rsidR="0066515F">
        <w:rPr>
          <w:rFonts w:hint="eastAsia"/>
          <w:sz w:val="24"/>
          <w:szCs w:val="24"/>
        </w:rPr>
        <w:t>了</w:t>
      </w:r>
      <w:r w:rsidR="00C6369C">
        <w:rPr>
          <w:rFonts w:hint="eastAsia"/>
          <w:sz w:val="24"/>
          <w:szCs w:val="24"/>
        </w:rPr>
        <w:t>基础数据，基于相关理论和监测数据构建了次生沉陷预测方法，并证明了方法的可靠性。因此，本标准所涉及的关闭井工矿次生沉陷监测、预测方法具有实验</w:t>
      </w:r>
      <w:r w:rsidR="0066515F">
        <w:rPr>
          <w:rFonts w:hint="eastAsia"/>
          <w:sz w:val="24"/>
          <w:szCs w:val="24"/>
        </w:rPr>
        <w:t>基础</w:t>
      </w:r>
      <w:r w:rsidR="00C6369C">
        <w:rPr>
          <w:rFonts w:hint="eastAsia"/>
          <w:sz w:val="24"/>
          <w:szCs w:val="24"/>
        </w:rPr>
        <w:t>，但由于井工矿井覆岩及地表次生沉陷的复杂性，次生沉陷预测方法仅作为参考依据，可通过今后</w:t>
      </w:r>
      <w:r w:rsidR="0066515F">
        <w:rPr>
          <w:rFonts w:hint="eastAsia"/>
          <w:sz w:val="24"/>
          <w:szCs w:val="24"/>
        </w:rPr>
        <w:t>对</w:t>
      </w:r>
      <w:r w:rsidR="00C6369C">
        <w:rPr>
          <w:rFonts w:hint="eastAsia"/>
          <w:sz w:val="24"/>
          <w:szCs w:val="24"/>
        </w:rPr>
        <w:t>大量关闭矿井地面次生沉陷的监测进一步完善。</w:t>
      </w:r>
    </w:p>
    <w:p w:rsidR="00D67DB0" w:rsidRDefault="00D67DB0" w:rsidP="000A2BB8">
      <w:pPr>
        <w:spacing w:line="360" w:lineRule="auto"/>
        <w:rPr>
          <w:sz w:val="24"/>
          <w:szCs w:val="24"/>
        </w:rPr>
      </w:pPr>
      <w:r w:rsidRPr="000A2BB8">
        <w:rPr>
          <w:rFonts w:hint="eastAsia"/>
          <w:sz w:val="24"/>
          <w:szCs w:val="24"/>
        </w:rPr>
        <w:t>四、采用国际标准的程度及水平的简要说明；</w:t>
      </w:r>
    </w:p>
    <w:p w:rsidR="00EE4A58" w:rsidRPr="000A2BB8" w:rsidRDefault="00C6369C" w:rsidP="00EE4A58">
      <w:pPr>
        <w:spacing w:line="360" w:lineRule="auto"/>
        <w:ind w:firstLineChars="177" w:firstLine="425"/>
        <w:rPr>
          <w:sz w:val="24"/>
          <w:szCs w:val="24"/>
        </w:rPr>
      </w:pPr>
      <w:r>
        <w:rPr>
          <w:rFonts w:hint="eastAsia"/>
          <w:sz w:val="24"/>
          <w:szCs w:val="24"/>
        </w:rPr>
        <w:t>在标准编写过程中，收集了法国采矿法，</w:t>
      </w:r>
      <w:r w:rsidR="00035AD3">
        <w:rPr>
          <w:rFonts w:hint="eastAsia"/>
          <w:sz w:val="24"/>
          <w:szCs w:val="24"/>
        </w:rPr>
        <w:t>该法规定当矿井关闭后，必须对其风险进行监测，并提出防控</w:t>
      </w:r>
      <w:r w:rsidR="0066515F">
        <w:rPr>
          <w:rFonts w:hint="eastAsia"/>
          <w:sz w:val="24"/>
          <w:szCs w:val="24"/>
        </w:rPr>
        <w:t>措施，</w:t>
      </w:r>
      <w:r w:rsidR="003120F4">
        <w:rPr>
          <w:rFonts w:hint="eastAsia"/>
          <w:sz w:val="24"/>
          <w:szCs w:val="24"/>
        </w:rPr>
        <w:t>但</w:t>
      </w:r>
      <w:r w:rsidR="0066515F">
        <w:rPr>
          <w:rFonts w:hint="eastAsia"/>
          <w:sz w:val="24"/>
          <w:szCs w:val="24"/>
        </w:rPr>
        <w:t>未做详细的监测规定</w:t>
      </w:r>
      <w:r w:rsidR="003120F4">
        <w:rPr>
          <w:rFonts w:hint="eastAsia"/>
          <w:sz w:val="24"/>
          <w:szCs w:val="24"/>
        </w:rPr>
        <w:t>。</w:t>
      </w:r>
      <w:r w:rsidR="0066515F">
        <w:rPr>
          <w:rFonts w:hint="eastAsia"/>
          <w:sz w:val="24"/>
          <w:szCs w:val="24"/>
        </w:rPr>
        <w:t>美国、英国等对关闭矿井也有类似的法规，国外仅仅要求对关闭井工矿沉陷进行监测，但未明确监测的</w:t>
      </w:r>
      <w:r w:rsidR="0066515F" w:rsidRPr="00C62053">
        <w:rPr>
          <w:rFonts w:hint="eastAsia"/>
          <w:sz w:val="24"/>
          <w:szCs w:val="24"/>
        </w:rPr>
        <w:t>内容、方法、精度、</w:t>
      </w:r>
      <w:r w:rsidR="0066515F">
        <w:rPr>
          <w:rFonts w:hint="eastAsia"/>
          <w:sz w:val="24"/>
          <w:szCs w:val="24"/>
        </w:rPr>
        <w:t>频率</w:t>
      </w:r>
      <w:r w:rsidR="0066515F" w:rsidRPr="00C62053">
        <w:rPr>
          <w:rFonts w:hint="eastAsia"/>
          <w:sz w:val="24"/>
          <w:szCs w:val="24"/>
        </w:rPr>
        <w:t>、范围及</w:t>
      </w:r>
      <w:r w:rsidR="0066515F">
        <w:rPr>
          <w:rFonts w:hint="eastAsia"/>
          <w:sz w:val="24"/>
          <w:szCs w:val="24"/>
        </w:rPr>
        <w:t>次生沉陷量预测与</w:t>
      </w:r>
      <w:r w:rsidR="0066515F" w:rsidRPr="00C62053">
        <w:rPr>
          <w:rFonts w:hint="eastAsia"/>
          <w:sz w:val="24"/>
          <w:szCs w:val="24"/>
        </w:rPr>
        <w:t>评价等</w:t>
      </w:r>
      <w:r w:rsidR="0066515F">
        <w:rPr>
          <w:rFonts w:hint="eastAsia"/>
          <w:sz w:val="24"/>
          <w:szCs w:val="24"/>
        </w:rPr>
        <w:t>，本标准对这些内容进行了详细的规定，更具有</w:t>
      </w:r>
      <w:r w:rsidR="00A924B3">
        <w:rPr>
          <w:rFonts w:hint="eastAsia"/>
          <w:sz w:val="24"/>
          <w:szCs w:val="24"/>
        </w:rPr>
        <w:t>可操作性</w:t>
      </w:r>
      <w:r w:rsidR="0066515F">
        <w:rPr>
          <w:rFonts w:hint="eastAsia"/>
          <w:sz w:val="24"/>
          <w:szCs w:val="24"/>
        </w:rPr>
        <w:t>。</w:t>
      </w:r>
    </w:p>
    <w:p w:rsidR="00D67DB0" w:rsidRDefault="00D67DB0" w:rsidP="000A2BB8">
      <w:pPr>
        <w:spacing w:line="360" w:lineRule="auto"/>
        <w:rPr>
          <w:sz w:val="24"/>
          <w:szCs w:val="24"/>
        </w:rPr>
      </w:pPr>
      <w:r w:rsidRPr="000A2BB8">
        <w:rPr>
          <w:rFonts w:hint="eastAsia"/>
          <w:sz w:val="24"/>
          <w:szCs w:val="24"/>
        </w:rPr>
        <w:t>五、重大分歧意见的处理经过和依据；</w:t>
      </w:r>
    </w:p>
    <w:p w:rsidR="00A924B3" w:rsidRPr="000A2BB8" w:rsidRDefault="00A924B3" w:rsidP="00A924B3">
      <w:pPr>
        <w:spacing w:line="360" w:lineRule="auto"/>
        <w:ind w:firstLineChars="177" w:firstLine="425"/>
        <w:rPr>
          <w:sz w:val="24"/>
          <w:szCs w:val="24"/>
        </w:rPr>
      </w:pPr>
      <w:r>
        <w:rPr>
          <w:rFonts w:hint="eastAsia"/>
          <w:sz w:val="24"/>
          <w:szCs w:val="24"/>
        </w:rPr>
        <w:t>本标准编写及征求意见中未出现重大分歧。</w:t>
      </w:r>
    </w:p>
    <w:p w:rsidR="00D67DB0" w:rsidRDefault="00D67DB0" w:rsidP="000A2BB8">
      <w:pPr>
        <w:spacing w:line="360" w:lineRule="auto"/>
        <w:rPr>
          <w:sz w:val="24"/>
          <w:szCs w:val="24"/>
        </w:rPr>
      </w:pPr>
      <w:r w:rsidRPr="000A2BB8">
        <w:rPr>
          <w:rFonts w:hint="eastAsia"/>
          <w:sz w:val="24"/>
          <w:szCs w:val="24"/>
        </w:rPr>
        <w:t>六、贯彻中国煤炭学会标准的要求和措施建议（包括组织措施、技术措施、过渡办法等内容）；</w:t>
      </w:r>
    </w:p>
    <w:p w:rsidR="00D00349" w:rsidRPr="000A2BB8" w:rsidRDefault="00D00349" w:rsidP="00D00349">
      <w:pPr>
        <w:spacing w:line="360" w:lineRule="auto"/>
        <w:ind w:firstLineChars="177" w:firstLine="425"/>
        <w:rPr>
          <w:sz w:val="24"/>
          <w:szCs w:val="24"/>
        </w:rPr>
      </w:pPr>
      <w:r>
        <w:rPr>
          <w:rFonts w:hint="eastAsia"/>
          <w:sz w:val="24"/>
          <w:szCs w:val="24"/>
        </w:rPr>
        <w:t>无！</w:t>
      </w:r>
    </w:p>
    <w:p w:rsidR="00D67DB0" w:rsidRDefault="00D67DB0" w:rsidP="000A2BB8">
      <w:pPr>
        <w:spacing w:line="360" w:lineRule="auto"/>
        <w:rPr>
          <w:sz w:val="24"/>
          <w:szCs w:val="24"/>
        </w:rPr>
      </w:pPr>
      <w:r w:rsidRPr="000A2BB8">
        <w:rPr>
          <w:rFonts w:hint="eastAsia"/>
          <w:sz w:val="24"/>
          <w:szCs w:val="24"/>
        </w:rPr>
        <w:t>七、其他应予说明的事项。</w:t>
      </w:r>
    </w:p>
    <w:p w:rsidR="00D00349" w:rsidRPr="000A2BB8" w:rsidRDefault="00D00349" w:rsidP="00D00349">
      <w:pPr>
        <w:spacing w:line="360" w:lineRule="auto"/>
        <w:ind w:firstLineChars="177" w:firstLine="425"/>
        <w:rPr>
          <w:sz w:val="24"/>
          <w:szCs w:val="24"/>
        </w:rPr>
      </w:pPr>
      <w:r>
        <w:rPr>
          <w:rFonts w:hint="eastAsia"/>
          <w:sz w:val="24"/>
          <w:szCs w:val="24"/>
        </w:rPr>
        <w:t>无！</w:t>
      </w:r>
    </w:p>
    <w:p w:rsidR="00EE74C5" w:rsidRDefault="00EE74C5">
      <w:pPr>
        <w:widowControl/>
        <w:jc w:val="left"/>
      </w:pPr>
      <w:r>
        <w:br w:type="page"/>
      </w:r>
    </w:p>
    <w:p w:rsidR="00EE74C5" w:rsidRPr="00EE74C5" w:rsidRDefault="00EE74C5" w:rsidP="00EE74C5">
      <w:pPr>
        <w:jc w:val="center"/>
        <w:outlineLvl w:val="0"/>
        <w:rPr>
          <w:rFonts w:asciiTheme="minorEastAsia" w:hAnsiTheme="minorEastAsia"/>
          <w:b/>
          <w:color w:val="000000"/>
          <w:sz w:val="30"/>
          <w:szCs w:val="30"/>
        </w:rPr>
      </w:pPr>
      <w:r w:rsidRPr="00EE74C5">
        <w:rPr>
          <w:rFonts w:asciiTheme="minorEastAsia" w:hAnsiTheme="minorEastAsia" w:hint="eastAsia"/>
          <w:b/>
          <w:color w:val="000000"/>
          <w:sz w:val="30"/>
          <w:szCs w:val="30"/>
        </w:rPr>
        <w:lastRenderedPageBreak/>
        <w:t>《关闭井工矿次生沉陷灾害监测与评价》征求意见汇总处理表</w:t>
      </w:r>
    </w:p>
    <w:p w:rsidR="00EE74C5" w:rsidRPr="008573E7" w:rsidRDefault="00EE74C5" w:rsidP="00EE74C5">
      <w:pPr>
        <w:rPr>
          <w:color w:val="000000"/>
        </w:rPr>
      </w:pPr>
      <w:r w:rsidRPr="008573E7">
        <w:rPr>
          <w:rFonts w:hint="eastAsia"/>
          <w:color w:val="000000"/>
        </w:rPr>
        <w:t>标准项目名称：</w:t>
      </w:r>
      <w:r w:rsidRPr="008573E7">
        <w:rPr>
          <w:rFonts w:ascii="宋体" w:hAnsi="宋体" w:hint="eastAsia"/>
          <w:color w:val="000000"/>
          <w:szCs w:val="21"/>
        </w:rPr>
        <w:t>《</w:t>
      </w:r>
      <w:r w:rsidRPr="00397FE4">
        <w:rPr>
          <w:rFonts w:ascii="宋体" w:hAnsi="宋体" w:hint="eastAsia"/>
          <w:color w:val="000000"/>
          <w:szCs w:val="21"/>
        </w:rPr>
        <w:t>关闭井工矿次生沉陷灾害监测与评价》</w:t>
      </w:r>
      <w:r w:rsidRPr="008573E7">
        <w:rPr>
          <w:rFonts w:hint="eastAsia"/>
          <w:color w:val="000000"/>
        </w:rPr>
        <w:t>承办人：</w:t>
      </w:r>
      <w:r>
        <w:rPr>
          <w:rFonts w:hint="eastAsia"/>
          <w:color w:val="000000"/>
        </w:rPr>
        <w:t>邓喀中共</w:t>
      </w:r>
      <w:r w:rsidR="00953308">
        <w:rPr>
          <w:color w:val="000000"/>
        </w:rPr>
        <w:t>3</w:t>
      </w:r>
      <w:r>
        <w:rPr>
          <w:rFonts w:hint="eastAsia"/>
          <w:color w:val="000000"/>
        </w:rPr>
        <w:t>页</w:t>
      </w:r>
    </w:p>
    <w:p w:rsidR="00EE74C5" w:rsidRPr="008573E7" w:rsidRDefault="00EE74C5" w:rsidP="00EE74C5">
      <w:pPr>
        <w:rPr>
          <w:rFonts w:ascii="宋体" w:hAnsi="宋体"/>
          <w:color w:val="000000"/>
          <w:szCs w:val="21"/>
        </w:rPr>
      </w:pPr>
      <w:r w:rsidRPr="008573E7">
        <w:rPr>
          <w:rFonts w:hint="eastAsia"/>
          <w:color w:val="000000"/>
        </w:rPr>
        <w:t>标准项目起草单位：</w:t>
      </w:r>
      <w:r w:rsidRPr="008573E7">
        <w:rPr>
          <w:rFonts w:ascii="宋体" w:hAnsi="宋体"/>
          <w:color w:val="000000"/>
          <w:szCs w:val="21"/>
        </w:rPr>
        <w:t>中国煤炭学会煤矿开采损害技术鉴定委员会，中国矿业大学，天地科技股份有限公司，煤炭科学研究</w:t>
      </w:r>
      <w:r>
        <w:rPr>
          <w:rFonts w:ascii="宋体" w:hAnsi="宋体" w:hint="eastAsia"/>
          <w:color w:val="000000"/>
          <w:szCs w:val="21"/>
        </w:rPr>
        <w:t>总</w:t>
      </w:r>
      <w:r w:rsidRPr="008573E7">
        <w:rPr>
          <w:rFonts w:ascii="宋体" w:hAnsi="宋体"/>
          <w:color w:val="000000"/>
          <w:szCs w:val="21"/>
        </w:rPr>
        <w:t>院唐山</w:t>
      </w:r>
      <w:r w:rsidRPr="008573E7">
        <w:rPr>
          <w:rFonts w:ascii="宋体" w:hAnsi="宋体" w:hint="eastAsia"/>
          <w:color w:val="000000"/>
          <w:szCs w:val="21"/>
        </w:rPr>
        <w:t>研究院</w:t>
      </w:r>
      <w:r w:rsidRPr="008573E7">
        <w:rPr>
          <w:rFonts w:ascii="宋体" w:hAnsi="宋体"/>
          <w:color w:val="000000"/>
          <w:szCs w:val="21"/>
        </w:rPr>
        <w:t>，中国矿业大学（北京），辽宁工程技术大学，</w:t>
      </w:r>
      <w:r>
        <w:rPr>
          <w:rFonts w:ascii="宋体" w:hAnsi="宋体" w:hint="eastAsia"/>
          <w:color w:val="000000"/>
          <w:szCs w:val="21"/>
        </w:rPr>
        <w:t>安徽理工</w:t>
      </w:r>
      <w:r w:rsidRPr="008573E7">
        <w:rPr>
          <w:rFonts w:ascii="宋体" w:hAnsi="宋体"/>
          <w:color w:val="000000"/>
          <w:szCs w:val="21"/>
        </w:rPr>
        <w:t>大学</w:t>
      </w:r>
    </w:p>
    <w:p w:rsidR="00EE74C5" w:rsidRPr="008573E7" w:rsidRDefault="00EE74C5" w:rsidP="00EE74C5">
      <w:pPr>
        <w:rPr>
          <w:color w:val="000000"/>
        </w:rPr>
      </w:pPr>
      <w:r w:rsidRPr="008573E7">
        <w:rPr>
          <w:rFonts w:hint="eastAsia"/>
          <w:color w:val="000000"/>
        </w:rPr>
        <w:t>电话：</w:t>
      </w:r>
      <w:r>
        <w:rPr>
          <w:rFonts w:hint="eastAsia"/>
          <w:color w:val="000000"/>
        </w:rPr>
        <w:t>13512565985                                2021</w:t>
      </w:r>
      <w:r>
        <w:rPr>
          <w:rFonts w:hint="eastAsia"/>
          <w:color w:val="000000"/>
        </w:rPr>
        <w:t>年</w:t>
      </w:r>
      <w:r>
        <w:rPr>
          <w:rFonts w:hint="eastAsia"/>
          <w:color w:val="000000"/>
        </w:rPr>
        <w:t>11</w:t>
      </w:r>
      <w:r>
        <w:rPr>
          <w:rFonts w:hint="eastAsia"/>
          <w:color w:val="000000"/>
        </w:rPr>
        <w:t>月</w:t>
      </w:r>
      <w:r>
        <w:rPr>
          <w:rFonts w:hint="eastAsia"/>
          <w:color w:val="000000"/>
        </w:rPr>
        <w:t>22</w:t>
      </w:r>
      <w:r>
        <w:rPr>
          <w:rFonts w:hint="eastAsia"/>
          <w:color w:val="000000"/>
        </w:rPr>
        <w:t>日填写</w:t>
      </w:r>
    </w:p>
    <w:tbl>
      <w:tblPr>
        <w:tblW w:w="5098" w:type="pct"/>
        <w:jc w:val="center"/>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ayout w:type="fixed"/>
        <w:tblLook w:val="01E0"/>
      </w:tblPr>
      <w:tblGrid>
        <w:gridCol w:w="444"/>
        <w:gridCol w:w="773"/>
        <w:gridCol w:w="4040"/>
        <w:gridCol w:w="1691"/>
        <w:gridCol w:w="1741"/>
      </w:tblGrid>
      <w:tr w:rsidR="00EE74C5" w:rsidRPr="008573E7" w:rsidTr="00902437">
        <w:trPr>
          <w:jc w:val="center"/>
        </w:trPr>
        <w:tc>
          <w:tcPr>
            <w:tcW w:w="255" w:type="pct"/>
            <w:vAlign w:val="center"/>
          </w:tcPr>
          <w:p w:rsidR="00EE74C5" w:rsidRPr="008573E7" w:rsidRDefault="00EE74C5" w:rsidP="00902437">
            <w:pPr>
              <w:snapToGrid w:val="0"/>
              <w:jc w:val="center"/>
              <w:rPr>
                <w:b/>
                <w:color w:val="000000"/>
                <w:szCs w:val="21"/>
              </w:rPr>
            </w:pPr>
            <w:r w:rsidRPr="008573E7">
              <w:rPr>
                <w:rFonts w:hint="eastAsia"/>
                <w:b/>
                <w:color w:val="000000"/>
                <w:szCs w:val="21"/>
              </w:rPr>
              <w:t>序号</w:t>
            </w:r>
          </w:p>
        </w:tc>
        <w:tc>
          <w:tcPr>
            <w:tcW w:w="445" w:type="pct"/>
            <w:vAlign w:val="center"/>
          </w:tcPr>
          <w:p w:rsidR="00EE74C5" w:rsidRPr="008573E7" w:rsidRDefault="00EE74C5" w:rsidP="00902437">
            <w:pPr>
              <w:snapToGrid w:val="0"/>
              <w:jc w:val="center"/>
              <w:rPr>
                <w:b/>
                <w:color w:val="000000"/>
                <w:szCs w:val="21"/>
              </w:rPr>
            </w:pPr>
            <w:r w:rsidRPr="008573E7">
              <w:rPr>
                <w:rFonts w:hint="eastAsia"/>
                <w:b/>
                <w:color w:val="000000"/>
                <w:szCs w:val="21"/>
              </w:rPr>
              <w:t>标准章条编号</w:t>
            </w:r>
          </w:p>
        </w:tc>
        <w:tc>
          <w:tcPr>
            <w:tcW w:w="2325" w:type="pct"/>
            <w:vAlign w:val="center"/>
          </w:tcPr>
          <w:p w:rsidR="00EE74C5" w:rsidRPr="008573E7" w:rsidRDefault="00EE74C5" w:rsidP="00902437">
            <w:pPr>
              <w:snapToGrid w:val="0"/>
              <w:jc w:val="center"/>
              <w:rPr>
                <w:b/>
                <w:color w:val="000000"/>
                <w:szCs w:val="21"/>
              </w:rPr>
            </w:pPr>
            <w:r w:rsidRPr="008573E7">
              <w:rPr>
                <w:rFonts w:hint="eastAsia"/>
                <w:b/>
                <w:color w:val="000000"/>
                <w:szCs w:val="21"/>
              </w:rPr>
              <w:t>意见内容</w:t>
            </w:r>
          </w:p>
        </w:tc>
        <w:tc>
          <w:tcPr>
            <w:tcW w:w="973" w:type="pct"/>
            <w:vAlign w:val="center"/>
          </w:tcPr>
          <w:p w:rsidR="00EE74C5" w:rsidRPr="008573E7" w:rsidRDefault="00EE74C5" w:rsidP="00902437">
            <w:pPr>
              <w:snapToGrid w:val="0"/>
              <w:jc w:val="center"/>
              <w:rPr>
                <w:b/>
                <w:color w:val="000000"/>
                <w:szCs w:val="21"/>
              </w:rPr>
            </w:pPr>
            <w:r w:rsidRPr="008573E7">
              <w:rPr>
                <w:rFonts w:hint="eastAsia"/>
                <w:b/>
                <w:color w:val="000000"/>
                <w:szCs w:val="21"/>
              </w:rPr>
              <w:t>提出单位（人）</w:t>
            </w:r>
          </w:p>
        </w:tc>
        <w:tc>
          <w:tcPr>
            <w:tcW w:w="1002" w:type="pct"/>
            <w:vAlign w:val="center"/>
          </w:tcPr>
          <w:p w:rsidR="00EE74C5" w:rsidRPr="008573E7" w:rsidRDefault="00EE74C5" w:rsidP="00902437">
            <w:pPr>
              <w:snapToGrid w:val="0"/>
              <w:jc w:val="center"/>
              <w:rPr>
                <w:b/>
                <w:color w:val="000000"/>
                <w:szCs w:val="21"/>
              </w:rPr>
            </w:pPr>
            <w:r w:rsidRPr="008573E7">
              <w:rPr>
                <w:rFonts w:hint="eastAsia"/>
                <w:b/>
                <w:color w:val="000000"/>
                <w:szCs w:val="21"/>
              </w:rPr>
              <w:t>处理意见及理由</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1</w:t>
            </w:r>
          </w:p>
        </w:tc>
        <w:tc>
          <w:tcPr>
            <w:tcW w:w="445" w:type="pct"/>
            <w:vAlign w:val="center"/>
          </w:tcPr>
          <w:p w:rsidR="00EE74C5" w:rsidRPr="008573E7" w:rsidRDefault="00EE74C5" w:rsidP="00902437">
            <w:pPr>
              <w:snapToGrid w:val="0"/>
              <w:rPr>
                <w:color w:val="000000"/>
                <w:szCs w:val="21"/>
              </w:rPr>
            </w:pPr>
          </w:p>
        </w:tc>
        <w:tc>
          <w:tcPr>
            <w:tcW w:w="2325" w:type="pct"/>
            <w:vAlign w:val="center"/>
          </w:tcPr>
          <w:p w:rsidR="00EE74C5" w:rsidRPr="008573E7" w:rsidRDefault="00EE74C5" w:rsidP="00902437">
            <w:pPr>
              <w:snapToGrid w:val="0"/>
              <w:rPr>
                <w:color w:val="000000"/>
                <w:szCs w:val="21"/>
              </w:rPr>
            </w:pPr>
            <w:r w:rsidRPr="008573E7">
              <w:rPr>
                <w:rFonts w:hint="eastAsia"/>
                <w:color w:val="000000"/>
                <w:szCs w:val="21"/>
              </w:rPr>
              <w:t>要按照标准的编写格式和编写方法进行编写</w:t>
            </w:r>
          </w:p>
        </w:tc>
        <w:tc>
          <w:tcPr>
            <w:tcW w:w="973" w:type="pct"/>
            <w:vAlign w:val="center"/>
          </w:tcPr>
          <w:p w:rsidR="00EE74C5" w:rsidRPr="008573E7" w:rsidRDefault="00EE74C5" w:rsidP="00902437">
            <w:pPr>
              <w:snapToGrid w:val="0"/>
              <w:rPr>
                <w:color w:val="000000"/>
                <w:szCs w:val="21"/>
              </w:rPr>
            </w:pPr>
            <w:r w:rsidRPr="008573E7">
              <w:rPr>
                <w:rFonts w:hint="eastAsia"/>
                <w:color w:val="000000"/>
                <w:szCs w:val="21"/>
              </w:rPr>
              <w:t>标准化技术委员会傅京昱</w:t>
            </w:r>
          </w:p>
        </w:tc>
        <w:tc>
          <w:tcPr>
            <w:tcW w:w="1002" w:type="pct"/>
            <w:vAlign w:val="center"/>
          </w:tcPr>
          <w:p w:rsidR="00EE74C5" w:rsidRPr="008573E7" w:rsidRDefault="00EE74C5" w:rsidP="00902437">
            <w:pPr>
              <w:snapToGrid w:val="0"/>
              <w:rPr>
                <w:color w:val="000000"/>
                <w:szCs w:val="21"/>
              </w:rPr>
            </w:pPr>
            <w:r w:rsidRPr="008573E7">
              <w:rPr>
                <w:rFonts w:hint="eastAsia"/>
                <w:color w:val="000000"/>
                <w:szCs w:val="21"/>
              </w:rPr>
              <w:t>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2</w:t>
            </w:r>
          </w:p>
        </w:tc>
        <w:tc>
          <w:tcPr>
            <w:tcW w:w="445" w:type="pct"/>
            <w:vAlign w:val="center"/>
          </w:tcPr>
          <w:p w:rsidR="00EE74C5" w:rsidRPr="008573E7" w:rsidRDefault="00EE74C5" w:rsidP="00902437">
            <w:pPr>
              <w:snapToGrid w:val="0"/>
              <w:rPr>
                <w:color w:val="000000"/>
                <w:szCs w:val="21"/>
              </w:rPr>
            </w:pPr>
          </w:p>
        </w:tc>
        <w:tc>
          <w:tcPr>
            <w:tcW w:w="2325" w:type="pct"/>
            <w:vAlign w:val="center"/>
          </w:tcPr>
          <w:p w:rsidR="00EE74C5" w:rsidRPr="008573E7" w:rsidRDefault="00EE74C5" w:rsidP="00902437">
            <w:pPr>
              <w:snapToGrid w:val="0"/>
              <w:rPr>
                <w:color w:val="000000"/>
                <w:szCs w:val="21"/>
              </w:rPr>
            </w:pPr>
            <w:r w:rsidRPr="008573E7">
              <w:rPr>
                <w:rFonts w:hint="eastAsia"/>
                <w:color w:val="000000"/>
                <w:szCs w:val="21"/>
              </w:rPr>
              <w:t>标准中措词的修改</w:t>
            </w:r>
          </w:p>
        </w:tc>
        <w:tc>
          <w:tcPr>
            <w:tcW w:w="973" w:type="pct"/>
            <w:vAlign w:val="center"/>
          </w:tcPr>
          <w:p w:rsidR="00EE74C5" w:rsidRPr="008573E7" w:rsidRDefault="00EE74C5" w:rsidP="00902437">
            <w:pPr>
              <w:snapToGrid w:val="0"/>
              <w:rPr>
                <w:color w:val="000000"/>
                <w:szCs w:val="21"/>
              </w:rPr>
            </w:pPr>
            <w:r w:rsidRPr="008573E7">
              <w:rPr>
                <w:rFonts w:hint="eastAsia"/>
                <w:color w:val="000000"/>
                <w:szCs w:val="21"/>
              </w:rPr>
              <w:t>标准化技术委员会傅京昱</w:t>
            </w:r>
          </w:p>
        </w:tc>
        <w:tc>
          <w:tcPr>
            <w:tcW w:w="1002" w:type="pct"/>
            <w:vAlign w:val="center"/>
          </w:tcPr>
          <w:p w:rsidR="00EE74C5" w:rsidRPr="008573E7" w:rsidRDefault="00EE74C5" w:rsidP="00902437">
            <w:pPr>
              <w:snapToGrid w:val="0"/>
              <w:rPr>
                <w:color w:val="000000"/>
                <w:szCs w:val="21"/>
              </w:rPr>
            </w:pPr>
            <w:r w:rsidRPr="008573E7">
              <w:rPr>
                <w:rFonts w:hint="eastAsia"/>
                <w:color w:val="000000"/>
                <w:szCs w:val="21"/>
              </w:rPr>
              <w:t>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3</w:t>
            </w:r>
          </w:p>
        </w:tc>
        <w:tc>
          <w:tcPr>
            <w:tcW w:w="445" w:type="pct"/>
            <w:vAlign w:val="center"/>
          </w:tcPr>
          <w:p w:rsidR="00EE74C5" w:rsidRPr="008573E7" w:rsidRDefault="00EE74C5" w:rsidP="00902437">
            <w:pPr>
              <w:snapToGrid w:val="0"/>
              <w:rPr>
                <w:color w:val="000000"/>
                <w:szCs w:val="21"/>
              </w:rPr>
            </w:pPr>
            <w:r>
              <w:rPr>
                <w:rFonts w:hint="eastAsia"/>
                <w:color w:val="000000"/>
                <w:szCs w:val="21"/>
              </w:rPr>
              <w:t>题目</w:t>
            </w:r>
          </w:p>
        </w:tc>
        <w:tc>
          <w:tcPr>
            <w:tcW w:w="2325" w:type="pct"/>
            <w:vAlign w:val="center"/>
          </w:tcPr>
          <w:p w:rsidR="00EE74C5" w:rsidRPr="001B12C9" w:rsidRDefault="00EE74C5" w:rsidP="00902437">
            <w:pPr>
              <w:snapToGrid w:val="0"/>
              <w:rPr>
                <w:color w:val="000000"/>
                <w:szCs w:val="21"/>
              </w:rPr>
            </w:pPr>
            <w:r>
              <w:rPr>
                <w:rFonts w:hint="eastAsia"/>
                <w:color w:val="000000"/>
                <w:szCs w:val="21"/>
              </w:rPr>
              <w:t>题目是否加煤矿更明确</w:t>
            </w:r>
          </w:p>
        </w:tc>
        <w:tc>
          <w:tcPr>
            <w:tcW w:w="973" w:type="pct"/>
            <w:vAlign w:val="center"/>
          </w:tcPr>
          <w:p w:rsidR="00EE74C5" w:rsidRPr="008573E7" w:rsidRDefault="00EE74C5" w:rsidP="00902437">
            <w:pPr>
              <w:snapToGrid w:val="0"/>
              <w:rPr>
                <w:color w:val="000000"/>
                <w:szCs w:val="21"/>
              </w:rPr>
            </w:pPr>
            <w:r>
              <w:rPr>
                <w:rFonts w:hint="eastAsia"/>
                <w:color w:val="000000"/>
                <w:szCs w:val="21"/>
              </w:rPr>
              <w:t>山东科技大学陈绍杰</w:t>
            </w:r>
          </w:p>
        </w:tc>
        <w:tc>
          <w:tcPr>
            <w:tcW w:w="1002" w:type="pct"/>
            <w:vAlign w:val="center"/>
          </w:tcPr>
          <w:p w:rsidR="00EE74C5" w:rsidRPr="008573E7" w:rsidRDefault="00EE74C5" w:rsidP="00902437">
            <w:pPr>
              <w:snapToGrid w:val="0"/>
              <w:rPr>
                <w:color w:val="000000"/>
                <w:szCs w:val="21"/>
              </w:rPr>
            </w:pPr>
            <w:r>
              <w:rPr>
                <w:rFonts w:hint="eastAsia"/>
                <w:color w:val="000000"/>
                <w:szCs w:val="21"/>
              </w:rPr>
              <w:t>未采纳，因为非金属矿也可参照执行</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4</w:t>
            </w:r>
          </w:p>
        </w:tc>
        <w:tc>
          <w:tcPr>
            <w:tcW w:w="445" w:type="pct"/>
            <w:vAlign w:val="center"/>
          </w:tcPr>
          <w:p w:rsidR="00EE74C5" w:rsidRDefault="00EE74C5" w:rsidP="00902437">
            <w:pPr>
              <w:snapToGrid w:val="0"/>
              <w:rPr>
                <w:color w:val="000000"/>
                <w:szCs w:val="21"/>
              </w:rPr>
            </w:pPr>
          </w:p>
        </w:tc>
        <w:tc>
          <w:tcPr>
            <w:tcW w:w="2325" w:type="pct"/>
            <w:vAlign w:val="center"/>
          </w:tcPr>
          <w:p w:rsidR="00EE74C5" w:rsidRDefault="00EE74C5" w:rsidP="00902437">
            <w:pPr>
              <w:snapToGrid w:val="0"/>
              <w:rPr>
                <w:color w:val="000000"/>
                <w:szCs w:val="21"/>
              </w:rPr>
            </w:pPr>
            <w:r w:rsidRPr="001B12C9">
              <w:rPr>
                <w:rFonts w:hint="eastAsia"/>
                <w:color w:val="000000"/>
                <w:szCs w:val="21"/>
              </w:rPr>
              <w:t>格式、引导语、字体、字号等，应按照</w:t>
            </w:r>
            <w:bookmarkStart w:id="0" w:name="_Hlk78468937"/>
            <w:r w:rsidRPr="001B12C9">
              <w:rPr>
                <w:color w:val="000000"/>
                <w:szCs w:val="21"/>
              </w:rPr>
              <w:t>GB/T 1.1—2020</w:t>
            </w:r>
            <w:bookmarkEnd w:id="0"/>
            <w:r w:rsidRPr="001B12C9">
              <w:rPr>
                <w:color w:val="000000"/>
                <w:szCs w:val="21"/>
              </w:rPr>
              <w:t>《标准化工作导则第</w:t>
            </w:r>
            <w:r w:rsidRPr="001B12C9">
              <w:rPr>
                <w:color w:val="000000"/>
                <w:szCs w:val="21"/>
              </w:rPr>
              <w:t>1</w:t>
            </w:r>
            <w:r w:rsidRPr="001B12C9">
              <w:rPr>
                <w:color w:val="000000"/>
                <w:szCs w:val="21"/>
              </w:rPr>
              <w:t>部分：标准化文件的结构和起草规则》的规定</w:t>
            </w:r>
            <w:r w:rsidRPr="001B12C9">
              <w:rPr>
                <w:rFonts w:hint="eastAsia"/>
                <w:color w:val="000000"/>
                <w:szCs w:val="21"/>
              </w:rPr>
              <w:t>编写、编排。</w:t>
            </w:r>
          </w:p>
        </w:tc>
        <w:tc>
          <w:tcPr>
            <w:tcW w:w="973" w:type="pct"/>
            <w:vAlign w:val="center"/>
          </w:tcPr>
          <w:p w:rsidR="00EE74C5" w:rsidRDefault="00EE74C5" w:rsidP="00902437">
            <w:pPr>
              <w:snapToGrid w:val="0"/>
              <w:rPr>
                <w:color w:val="000000"/>
                <w:szCs w:val="21"/>
              </w:rPr>
            </w:pPr>
            <w:r>
              <w:rPr>
                <w:rFonts w:hint="eastAsia"/>
                <w:color w:val="000000"/>
                <w:szCs w:val="21"/>
              </w:rPr>
              <w:t>煤炭科学研究总院李树志、山东科技大学成枢</w:t>
            </w:r>
          </w:p>
        </w:tc>
        <w:tc>
          <w:tcPr>
            <w:tcW w:w="1002" w:type="pct"/>
            <w:vAlign w:val="center"/>
          </w:tcPr>
          <w:p w:rsidR="00EE74C5" w:rsidRPr="001B12C9" w:rsidRDefault="00EE74C5" w:rsidP="00902437">
            <w:pPr>
              <w:snapToGrid w:val="0"/>
              <w:rPr>
                <w:color w:val="000000"/>
                <w:szCs w:val="21"/>
              </w:rPr>
            </w:pPr>
            <w:r>
              <w:rPr>
                <w:rFonts w:hint="eastAsia"/>
                <w:color w:val="000000"/>
                <w:szCs w:val="21"/>
              </w:rPr>
              <w:t>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5</w:t>
            </w:r>
          </w:p>
        </w:tc>
        <w:tc>
          <w:tcPr>
            <w:tcW w:w="445" w:type="pct"/>
            <w:vAlign w:val="center"/>
          </w:tcPr>
          <w:p w:rsidR="00EE74C5" w:rsidRDefault="00EE74C5" w:rsidP="00902437">
            <w:pPr>
              <w:snapToGrid w:val="0"/>
              <w:rPr>
                <w:color w:val="000000"/>
                <w:szCs w:val="21"/>
              </w:rPr>
            </w:pPr>
          </w:p>
        </w:tc>
        <w:tc>
          <w:tcPr>
            <w:tcW w:w="2325" w:type="pct"/>
            <w:vAlign w:val="center"/>
          </w:tcPr>
          <w:p w:rsidR="00EE74C5" w:rsidRPr="001B12C9" w:rsidRDefault="00EE74C5" w:rsidP="00902437">
            <w:pPr>
              <w:snapToGrid w:val="0"/>
              <w:rPr>
                <w:color w:val="000000"/>
                <w:szCs w:val="21"/>
              </w:rPr>
            </w:pPr>
            <w:r w:rsidRPr="001B12C9">
              <w:rPr>
                <w:rFonts w:hint="eastAsia"/>
                <w:color w:val="000000"/>
                <w:szCs w:val="21"/>
              </w:rPr>
              <w:t>本标准的工作程序复杂且与一般监测评估的做法不同，建议将“</w:t>
            </w:r>
            <w:bookmarkStart w:id="1" w:name="_Hlk78561925"/>
            <w:r w:rsidRPr="001B12C9">
              <w:rPr>
                <w:rFonts w:hint="eastAsia"/>
                <w:color w:val="000000"/>
                <w:szCs w:val="21"/>
              </w:rPr>
              <w:t>监测与评价工作程序</w:t>
            </w:r>
            <w:bookmarkEnd w:id="1"/>
            <w:r w:rsidRPr="001B12C9">
              <w:rPr>
                <w:rFonts w:hint="eastAsia"/>
                <w:color w:val="000000"/>
                <w:szCs w:val="21"/>
              </w:rPr>
              <w:t>”前移，先让读者了解整体情况。并补充监测与评价工作程序框图，明确和细化工作阶段、逻辑顺序、时间节点、工作内容、监测或评估方法、各阶段提交成果等，这样一目了然。</w:t>
            </w:r>
          </w:p>
        </w:tc>
        <w:tc>
          <w:tcPr>
            <w:tcW w:w="973" w:type="pct"/>
            <w:vAlign w:val="center"/>
          </w:tcPr>
          <w:p w:rsidR="00EE74C5" w:rsidRDefault="00EE74C5" w:rsidP="00902437">
            <w:pPr>
              <w:snapToGrid w:val="0"/>
              <w:rPr>
                <w:color w:val="000000"/>
                <w:szCs w:val="21"/>
              </w:rPr>
            </w:pPr>
            <w:r>
              <w:rPr>
                <w:rFonts w:hint="eastAsia"/>
                <w:color w:val="000000"/>
                <w:szCs w:val="21"/>
              </w:rPr>
              <w:t>煤炭科学研究总院李树志</w:t>
            </w:r>
          </w:p>
        </w:tc>
        <w:tc>
          <w:tcPr>
            <w:tcW w:w="1002" w:type="pct"/>
            <w:vAlign w:val="center"/>
          </w:tcPr>
          <w:p w:rsidR="00EE74C5" w:rsidRDefault="00EE74C5" w:rsidP="00902437">
            <w:pPr>
              <w:snapToGrid w:val="0"/>
              <w:rPr>
                <w:color w:val="000000"/>
                <w:szCs w:val="21"/>
              </w:rPr>
            </w:pPr>
            <w:r>
              <w:rPr>
                <w:rFonts w:hint="eastAsia"/>
                <w:color w:val="000000"/>
                <w:szCs w:val="21"/>
              </w:rPr>
              <w:t>部分采纳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6</w:t>
            </w:r>
          </w:p>
        </w:tc>
        <w:tc>
          <w:tcPr>
            <w:tcW w:w="445" w:type="pct"/>
            <w:vAlign w:val="center"/>
          </w:tcPr>
          <w:p w:rsidR="00EE74C5" w:rsidRDefault="00EE74C5" w:rsidP="00902437">
            <w:pPr>
              <w:snapToGrid w:val="0"/>
              <w:rPr>
                <w:color w:val="000000"/>
                <w:szCs w:val="21"/>
              </w:rPr>
            </w:pPr>
          </w:p>
        </w:tc>
        <w:tc>
          <w:tcPr>
            <w:tcW w:w="2325" w:type="pct"/>
            <w:vAlign w:val="center"/>
          </w:tcPr>
          <w:p w:rsidR="00EE74C5" w:rsidRPr="001B12C9" w:rsidRDefault="00EE74C5" w:rsidP="00902437">
            <w:pPr>
              <w:snapToGrid w:val="0"/>
              <w:rPr>
                <w:color w:val="000000"/>
                <w:szCs w:val="21"/>
              </w:rPr>
            </w:pPr>
            <w:r w:rsidRPr="00BC678B">
              <w:rPr>
                <w:rFonts w:hint="eastAsia"/>
                <w:color w:val="000000"/>
                <w:szCs w:val="21"/>
              </w:rPr>
              <w:t>本标准是技术标准，建议删除管理方面内容或条款。</w:t>
            </w:r>
          </w:p>
        </w:tc>
        <w:tc>
          <w:tcPr>
            <w:tcW w:w="973" w:type="pct"/>
            <w:vAlign w:val="center"/>
          </w:tcPr>
          <w:p w:rsidR="00EE74C5" w:rsidRDefault="00EE74C5" w:rsidP="00902437">
            <w:pPr>
              <w:snapToGrid w:val="0"/>
              <w:rPr>
                <w:color w:val="000000"/>
                <w:szCs w:val="21"/>
              </w:rPr>
            </w:pPr>
            <w:r>
              <w:rPr>
                <w:rFonts w:hint="eastAsia"/>
                <w:color w:val="000000"/>
                <w:szCs w:val="21"/>
              </w:rPr>
              <w:t>煤炭科学研究总院李树志</w:t>
            </w:r>
          </w:p>
        </w:tc>
        <w:tc>
          <w:tcPr>
            <w:tcW w:w="1002" w:type="pct"/>
            <w:vAlign w:val="center"/>
          </w:tcPr>
          <w:p w:rsidR="00EE74C5" w:rsidRDefault="00EE74C5" w:rsidP="00902437">
            <w:pPr>
              <w:snapToGrid w:val="0"/>
              <w:rPr>
                <w:color w:val="000000"/>
                <w:szCs w:val="21"/>
              </w:rPr>
            </w:pPr>
            <w:r>
              <w:rPr>
                <w:rFonts w:hint="eastAsia"/>
                <w:color w:val="000000"/>
                <w:szCs w:val="21"/>
              </w:rPr>
              <w:t>部分采纳，必要的管理内容不能去掉</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Pr>
                <w:rFonts w:hint="eastAsia"/>
                <w:color w:val="000000"/>
                <w:szCs w:val="21"/>
              </w:rPr>
              <w:t>7</w:t>
            </w:r>
          </w:p>
        </w:tc>
        <w:tc>
          <w:tcPr>
            <w:tcW w:w="445" w:type="pct"/>
            <w:vAlign w:val="center"/>
          </w:tcPr>
          <w:p w:rsidR="00EE74C5" w:rsidRPr="008573E7" w:rsidRDefault="00EE74C5" w:rsidP="00902437">
            <w:pPr>
              <w:snapToGrid w:val="0"/>
              <w:rPr>
                <w:color w:val="000000"/>
                <w:szCs w:val="21"/>
              </w:rPr>
            </w:pPr>
            <w:r>
              <w:rPr>
                <w:rFonts w:hint="eastAsia"/>
                <w:color w:val="000000"/>
                <w:szCs w:val="21"/>
              </w:rPr>
              <w:t>3.1</w:t>
            </w:r>
          </w:p>
        </w:tc>
        <w:tc>
          <w:tcPr>
            <w:tcW w:w="2325" w:type="pct"/>
            <w:vAlign w:val="center"/>
          </w:tcPr>
          <w:p w:rsidR="00EE74C5" w:rsidRPr="008573E7" w:rsidRDefault="00EE74C5" w:rsidP="00902437">
            <w:pPr>
              <w:snapToGrid w:val="0"/>
              <w:rPr>
                <w:color w:val="000000"/>
                <w:szCs w:val="21"/>
              </w:rPr>
            </w:pPr>
            <w:r>
              <w:rPr>
                <w:rFonts w:hint="eastAsia"/>
                <w:color w:val="000000"/>
                <w:szCs w:val="21"/>
              </w:rPr>
              <w:t>去掉</w:t>
            </w:r>
            <w:r w:rsidRPr="00F2180A">
              <w:t>典型特征是地下排水系统废弃并进行了闭坑处理。</w:t>
            </w:r>
          </w:p>
        </w:tc>
        <w:tc>
          <w:tcPr>
            <w:tcW w:w="973" w:type="pct"/>
            <w:vAlign w:val="center"/>
          </w:tcPr>
          <w:p w:rsidR="00EE74C5" w:rsidRPr="008573E7" w:rsidRDefault="00EE74C5" w:rsidP="00902437">
            <w:pPr>
              <w:snapToGrid w:val="0"/>
              <w:rPr>
                <w:color w:val="000000"/>
                <w:szCs w:val="21"/>
              </w:rPr>
            </w:pPr>
            <w:r>
              <w:rPr>
                <w:rFonts w:hint="eastAsia"/>
                <w:color w:val="000000"/>
                <w:szCs w:val="21"/>
              </w:rPr>
              <w:t>河南理工大学郭文兵</w:t>
            </w:r>
          </w:p>
        </w:tc>
        <w:tc>
          <w:tcPr>
            <w:tcW w:w="1002" w:type="pct"/>
            <w:vAlign w:val="center"/>
          </w:tcPr>
          <w:p w:rsidR="00EE74C5" w:rsidRPr="008573E7" w:rsidRDefault="00EE74C5" w:rsidP="00902437">
            <w:pPr>
              <w:snapToGrid w:val="0"/>
              <w:rPr>
                <w:color w:val="000000"/>
                <w:szCs w:val="21"/>
              </w:rPr>
            </w:pPr>
            <w:r>
              <w:rPr>
                <w:rFonts w:hint="eastAsia"/>
                <w:color w:val="000000"/>
                <w:szCs w:val="21"/>
              </w:rPr>
              <w:t>未采纳，因资源开采完毕的矿井不一定闭坑。</w:t>
            </w:r>
          </w:p>
        </w:tc>
      </w:tr>
      <w:tr w:rsidR="00EE74C5" w:rsidRPr="008573E7" w:rsidTr="00902437">
        <w:trPr>
          <w:trHeight w:val="869"/>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8</w:t>
            </w:r>
          </w:p>
        </w:tc>
        <w:tc>
          <w:tcPr>
            <w:tcW w:w="445" w:type="pct"/>
            <w:vAlign w:val="center"/>
          </w:tcPr>
          <w:p w:rsidR="00EE74C5" w:rsidRPr="008573E7" w:rsidRDefault="00EE74C5" w:rsidP="00902437">
            <w:pPr>
              <w:snapToGrid w:val="0"/>
              <w:rPr>
                <w:color w:val="000000"/>
                <w:szCs w:val="21"/>
              </w:rPr>
            </w:pPr>
            <w:r>
              <w:rPr>
                <w:rFonts w:hint="eastAsia"/>
                <w:color w:val="000000"/>
                <w:szCs w:val="21"/>
              </w:rPr>
              <w:t>3.2</w:t>
            </w:r>
          </w:p>
        </w:tc>
        <w:tc>
          <w:tcPr>
            <w:tcW w:w="2325" w:type="pct"/>
            <w:vAlign w:val="center"/>
          </w:tcPr>
          <w:p w:rsidR="00EE74C5" w:rsidRPr="008573E7" w:rsidRDefault="00EE74C5" w:rsidP="00902437">
            <w:pPr>
              <w:snapToGrid w:val="0"/>
              <w:rPr>
                <w:color w:val="000000"/>
                <w:szCs w:val="21"/>
              </w:rPr>
            </w:pPr>
            <w:r>
              <w:rPr>
                <w:rFonts w:hint="eastAsia"/>
              </w:rPr>
              <w:t>此定义有</w:t>
            </w:r>
            <w:r>
              <w:t>2</w:t>
            </w:r>
            <w:r>
              <w:rPr>
                <w:rFonts w:hint="eastAsia"/>
              </w:rPr>
              <w:t>个疑问：</w:t>
            </w:r>
            <w:r>
              <w:rPr>
                <w:rFonts w:hint="eastAsia"/>
              </w:rPr>
              <w:t>1</w:t>
            </w:r>
            <w:r>
              <w:t>.</w:t>
            </w:r>
            <w:r>
              <w:rPr>
                <w:rFonts w:hint="eastAsia"/>
              </w:rPr>
              <w:t>什么是次生</w:t>
            </w:r>
            <w:r w:rsidRPr="00F2180A">
              <w:t>沉陷</w:t>
            </w:r>
            <w:r>
              <w:rPr>
                <w:rFonts w:hint="eastAsia"/>
              </w:rPr>
              <w:t>？与初次</w:t>
            </w:r>
            <w:r w:rsidRPr="00F2180A">
              <w:t>沉陷</w:t>
            </w:r>
            <w:r>
              <w:rPr>
                <w:rFonts w:hint="eastAsia"/>
              </w:rPr>
              <w:t>的关系？</w:t>
            </w:r>
            <w:r>
              <w:rPr>
                <w:rFonts w:hint="eastAsia"/>
              </w:rPr>
              <w:t>2</w:t>
            </w:r>
            <w:r>
              <w:t>.</w:t>
            </w:r>
            <w:r>
              <w:rPr>
                <w:rFonts w:hint="eastAsia"/>
              </w:rPr>
              <w:t>沉陷的定义？如何产生上升？</w:t>
            </w:r>
          </w:p>
        </w:tc>
        <w:tc>
          <w:tcPr>
            <w:tcW w:w="973" w:type="pct"/>
            <w:vAlign w:val="center"/>
          </w:tcPr>
          <w:p w:rsidR="00EE74C5" w:rsidRPr="008573E7" w:rsidRDefault="00EE74C5" w:rsidP="00902437">
            <w:pPr>
              <w:snapToGrid w:val="0"/>
              <w:rPr>
                <w:color w:val="000000"/>
                <w:szCs w:val="21"/>
              </w:rPr>
            </w:pPr>
            <w:r>
              <w:rPr>
                <w:rFonts w:hint="eastAsia"/>
                <w:color w:val="000000"/>
                <w:szCs w:val="21"/>
              </w:rPr>
              <w:t>天地科技股份有限公司申宝宏</w:t>
            </w:r>
          </w:p>
        </w:tc>
        <w:tc>
          <w:tcPr>
            <w:tcW w:w="1002" w:type="pct"/>
          </w:tcPr>
          <w:p w:rsidR="00EE74C5" w:rsidRPr="00D01499" w:rsidRDefault="00EE74C5" w:rsidP="00902437">
            <w:pPr>
              <w:snapToGrid w:val="0"/>
              <w:rPr>
                <w:color w:val="000000"/>
                <w:szCs w:val="21"/>
              </w:rPr>
            </w:pPr>
            <w:r>
              <w:rPr>
                <w:rFonts w:hint="eastAsia"/>
                <w:color w:val="000000"/>
                <w:szCs w:val="21"/>
              </w:rPr>
              <w:t>采纳，已修改</w:t>
            </w:r>
          </w:p>
        </w:tc>
      </w:tr>
      <w:tr w:rsidR="00EE74C5" w:rsidRPr="008573E7" w:rsidTr="00902437">
        <w:trPr>
          <w:trHeight w:val="743"/>
          <w:jc w:val="center"/>
        </w:trPr>
        <w:tc>
          <w:tcPr>
            <w:tcW w:w="255" w:type="pct"/>
            <w:vAlign w:val="center"/>
          </w:tcPr>
          <w:p w:rsidR="00EE74C5" w:rsidRPr="008573E7" w:rsidRDefault="00EE74C5" w:rsidP="00902437">
            <w:pPr>
              <w:snapToGrid w:val="0"/>
              <w:rPr>
                <w:color w:val="000000"/>
                <w:szCs w:val="21"/>
              </w:rPr>
            </w:pPr>
            <w:r>
              <w:rPr>
                <w:rFonts w:hint="eastAsia"/>
                <w:color w:val="000000"/>
                <w:szCs w:val="21"/>
              </w:rPr>
              <w:t>9</w:t>
            </w:r>
          </w:p>
        </w:tc>
        <w:tc>
          <w:tcPr>
            <w:tcW w:w="445" w:type="pct"/>
            <w:vAlign w:val="center"/>
          </w:tcPr>
          <w:p w:rsidR="00EE74C5" w:rsidRDefault="00EE74C5" w:rsidP="00902437">
            <w:pPr>
              <w:snapToGrid w:val="0"/>
              <w:rPr>
                <w:color w:val="000000"/>
                <w:szCs w:val="21"/>
              </w:rPr>
            </w:pPr>
            <w:r>
              <w:rPr>
                <w:rFonts w:hint="eastAsia"/>
                <w:color w:val="000000"/>
                <w:szCs w:val="21"/>
              </w:rPr>
              <w:t>3.8</w:t>
            </w:r>
          </w:p>
        </w:tc>
        <w:tc>
          <w:tcPr>
            <w:tcW w:w="2325" w:type="pct"/>
            <w:vAlign w:val="center"/>
          </w:tcPr>
          <w:p w:rsidR="00EE74C5" w:rsidRDefault="00EE74C5" w:rsidP="00902437">
            <w:pPr>
              <w:snapToGrid w:val="0"/>
            </w:pPr>
            <w:r>
              <w:rPr>
                <w:rFonts w:hint="eastAsia"/>
              </w:rPr>
              <w:t>增加柱式开采术语</w:t>
            </w:r>
          </w:p>
        </w:tc>
        <w:tc>
          <w:tcPr>
            <w:tcW w:w="973" w:type="pct"/>
            <w:vAlign w:val="center"/>
          </w:tcPr>
          <w:p w:rsidR="00EE74C5" w:rsidRDefault="00EE74C5" w:rsidP="00902437">
            <w:pPr>
              <w:snapToGrid w:val="0"/>
              <w:rPr>
                <w:color w:val="000000"/>
                <w:szCs w:val="21"/>
              </w:rPr>
            </w:pPr>
            <w:r>
              <w:rPr>
                <w:rFonts w:hint="eastAsia"/>
                <w:color w:val="000000"/>
                <w:szCs w:val="21"/>
              </w:rPr>
              <w:t>天地科技股份有限公司胡炳南</w:t>
            </w:r>
          </w:p>
        </w:tc>
        <w:tc>
          <w:tcPr>
            <w:tcW w:w="1002" w:type="pct"/>
          </w:tcPr>
          <w:p w:rsidR="00EE74C5" w:rsidRDefault="00EE74C5" w:rsidP="00902437">
            <w:pPr>
              <w:snapToGrid w:val="0"/>
              <w:rPr>
                <w:color w:val="000000"/>
                <w:szCs w:val="21"/>
              </w:rPr>
            </w:pPr>
            <w:r>
              <w:rPr>
                <w:rFonts w:hint="eastAsia"/>
                <w:color w:val="000000"/>
                <w:szCs w:val="21"/>
              </w:rPr>
              <w:t>采纳</w:t>
            </w:r>
          </w:p>
        </w:tc>
      </w:tr>
      <w:tr w:rsidR="00EE74C5" w:rsidRPr="008573E7" w:rsidTr="00902437">
        <w:trPr>
          <w:jc w:val="center"/>
        </w:trPr>
        <w:tc>
          <w:tcPr>
            <w:tcW w:w="255" w:type="pct"/>
            <w:vAlign w:val="center"/>
          </w:tcPr>
          <w:p w:rsidR="00EE74C5" w:rsidRDefault="00EE74C5" w:rsidP="00902437">
            <w:pPr>
              <w:snapToGrid w:val="0"/>
              <w:rPr>
                <w:color w:val="000000"/>
                <w:szCs w:val="21"/>
              </w:rPr>
            </w:pPr>
            <w:r w:rsidRPr="008573E7">
              <w:rPr>
                <w:rFonts w:hint="eastAsia"/>
                <w:color w:val="000000"/>
                <w:szCs w:val="21"/>
              </w:rPr>
              <w:t>1</w:t>
            </w:r>
            <w:r>
              <w:rPr>
                <w:rFonts w:hint="eastAsia"/>
                <w:color w:val="000000"/>
                <w:szCs w:val="21"/>
              </w:rPr>
              <w:t>0</w:t>
            </w:r>
          </w:p>
        </w:tc>
        <w:tc>
          <w:tcPr>
            <w:tcW w:w="445" w:type="pct"/>
            <w:vAlign w:val="center"/>
          </w:tcPr>
          <w:p w:rsidR="00EE74C5" w:rsidRPr="008573E7" w:rsidRDefault="00EE74C5" w:rsidP="00902437">
            <w:pPr>
              <w:snapToGrid w:val="0"/>
              <w:rPr>
                <w:color w:val="000000"/>
                <w:szCs w:val="21"/>
              </w:rPr>
            </w:pPr>
            <w:r>
              <w:rPr>
                <w:rFonts w:hint="eastAsia"/>
                <w:color w:val="000000"/>
                <w:szCs w:val="21"/>
              </w:rPr>
              <w:t>4.1</w:t>
            </w:r>
          </w:p>
        </w:tc>
        <w:tc>
          <w:tcPr>
            <w:tcW w:w="2325" w:type="pct"/>
            <w:vAlign w:val="center"/>
          </w:tcPr>
          <w:p w:rsidR="00EE74C5" w:rsidRPr="008573E7" w:rsidRDefault="00EE74C5" w:rsidP="00902437">
            <w:pPr>
              <w:snapToGrid w:val="0"/>
              <w:rPr>
                <w:color w:val="000000"/>
                <w:szCs w:val="21"/>
              </w:rPr>
            </w:pPr>
            <w:r>
              <w:rPr>
                <w:rFonts w:hint="eastAsia"/>
              </w:rPr>
              <w:t>制定方案的主体和</w:t>
            </w:r>
            <w:r w:rsidRPr="00F2180A">
              <w:t>实施</w:t>
            </w:r>
            <w:r>
              <w:rPr>
                <w:rFonts w:hint="eastAsia"/>
              </w:rPr>
              <w:t>方案的主体不一定是同一个？</w:t>
            </w:r>
            <w:r w:rsidRPr="00F2180A">
              <w:rPr>
                <w:rFonts w:hint="eastAsia"/>
              </w:rPr>
              <w:t>进行次生沉陷灾害评价</w:t>
            </w:r>
            <w:r>
              <w:rPr>
                <w:rFonts w:hint="eastAsia"/>
              </w:rPr>
              <w:t>是具体工作，而不是工作内容</w:t>
            </w:r>
          </w:p>
        </w:tc>
        <w:tc>
          <w:tcPr>
            <w:tcW w:w="973" w:type="pct"/>
            <w:vAlign w:val="center"/>
          </w:tcPr>
          <w:p w:rsidR="00EE74C5" w:rsidRPr="008573E7" w:rsidRDefault="00EE74C5" w:rsidP="00902437">
            <w:pPr>
              <w:snapToGrid w:val="0"/>
              <w:rPr>
                <w:color w:val="000000"/>
                <w:szCs w:val="21"/>
              </w:rPr>
            </w:pPr>
            <w:r>
              <w:rPr>
                <w:rFonts w:hint="eastAsia"/>
                <w:color w:val="000000"/>
                <w:szCs w:val="21"/>
              </w:rPr>
              <w:t>天地科技股份有限公司申宝宏</w:t>
            </w:r>
          </w:p>
        </w:tc>
        <w:tc>
          <w:tcPr>
            <w:tcW w:w="1002" w:type="pct"/>
          </w:tcPr>
          <w:p w:rsidR="00EE74C5" w:rsidRPr="008573E7" w:rsidRDefault="00EE74C5" w:rsidP="00902437">
            <w:pPr>
              <w:snapToGrid w:val="0"/>
              <w:rPr>
                <w:color w:val="000000"/>
                <w:szCs w:val="21"/>
              </w:rPr>
            </w:pPr>
            <w:r>
              <w:rPr>
                <w:rFonts w:hint="eastAsia"/>
                <w:color w:val="000000"/>
                <w:szCs w:val="21"/>
              </w:rPr>
              <w:t>部分采纳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1</w:t>
            </w:r>
            <w:r>
              <w:rPr>
                <w:rFonts w:hint="eastAsia"/>
                <w:color w:val="000000"/>
                <w:szCs w:val="21"/>
              </w:rPr>
              <w:t>1</w:t>
            </w:r>
          </w:p>
        </w:tc>
        <w:tc>
          <w:tcPr>
            <w:tcW w:w="445" w:type="pct"/>
            <w:vAlign w:val="center"/>
          </w:tcPr>
          <w:p w:rsidR="00EE74C5" w:rsidRPr="008573E7" w:rsidRDefault="00EE74C5" w:rsidP="00902437">
            <w:pPr>
              <w:snapToGrid w:val="0"/>
              <w:rPr>
                <w:color w:val="000000"/>
                <w:szCs w:val="21"/>
              </w:rPr>
            </w:pPr>
            <w:r>
              <w:rPr>
                <w:rFonts w:hint="eastAsia"/>
                <w:color w:val="000000"/>
                <w:szCs w:val="21"/>
              </w:rPr>
              <w:t>4.2.1</w:t>
            </w:r>
          </w:p>
        </w:tc>
        <w:tc>
          <w:tcPr>
            <w:tcW w:w="2325" w:type="pct"/>
            <w:vAlign w:val="center"/>
          </w:tcPr>
          <w:p w:rsidR="00EE74C5" w:rsidRPr="008573E7" w:rsidRDefault="00EE74C5" w:rsidP="00902437">
            <w:pPr>
              <w:snapToGrid w:val="0"/>
              <w:rPr>
                <w:rFonts w:ascii="宋体" w:hAnsi="宋体"/>
                <w:color w:val="000000"/>
                <w:szCs w:val="21"/>
              </w:rPr>
            </w:pPr>
            <w:r>
              <w:rPr>
                <w:rFonts w:hint="eastAsia"/>
              </w:rPr>
              <w:t>1</w:t>
            </w:r>
            <w:r>
              <w:rPr>
                <w:rFonts w:hint="eastAsia"/>
              </w:rPr>
              <w:t>、去掉</w:t>
            </w:r>
            <w:r w:rsidRPr="00F2180A">
              <w:t>关闭井工矿</w:t>
            </w:r>
            <w:r w:rsidRPr="00F2180A">
              <w:rPr>
                <w:rFonts w:hint="eastAsia"/>
              </w:rPr>
              <w:t>次生</w:t>
            </w:r>
            <w:r w:rsidRPr="00F2180A">
              <w:t>沉陷灾害监测与评价工作方法</w:t>
            </w:r>
            <w:r>
              <w:rPr>
                <w:rFonts w:hint="eastAsia"/>
              </w:rPr>
              <w:t>；</w:t>
            </w:r>
            <w:r>
              <w:rPr>
                <w:rFonts w:hint="eastAsia"/>
              </w:rPr>
              <w:t>2</w:t>
            </w:r>
            <w:r>
              <w:rPr>
                <w:rFonts w:hint="eastAsia"/>
              </w:rPr>
              <w:t>、</w:t>
            </w:r>
            <w:r w:rsidRPr="00F2180A">
              <w:t>采动</w:t>
            </w:r>
            <w:r>
              <w:rPr>
                <w:rFonts w:hint="eastAsia"/>
              </w:rPr>
              <w:t>覆岩结构分布改为</w:t>
            </w:r>
            <w:r w:rsidRPr="00F2180A">
              <w:t>采动</w:t>
            </w:r>
            <w:r>
              <w:rPr>
                <w:rFonts w:hint="eastAsia"/>
              </w:rPr>
              <w:t>覆岩结构特征</w:t>
            </w:r>
          </w:p>
        </w:tc>
        <w:tc>
          <w:tcPr>
            <w:tcW w:w="973" w:type="pct"/>
            <w:vAlign w:val="center"/>
          </w:tcPr>
          <w:p w:rsidR="00EE74C5" w:rsidRPr="008573E7" w:rsidRDefault="00EE74C5" w:rsidP="00902437">
            <w:pPr>
              <w:snapToGrid w:val="0"/>
              <w:rPr>
                <w:color w:val="000000"/>
                <w:szCs w:val="21"/>
              </w:rPr>
            </w:pPr>
            <w:r>
              <w:rPr>
                <w:rFonts w:hint="eastAsia"/>
                <w:color w:val="000000"/>
                <w:szCs w:val="21"/>
              </w:rPr>
              <w:t>天地科技股份有限公司胡炳南、河南理工大学郭文兵</w:t>
            </w:r>
          </w:p>
        </w:tc>
        <w:tc>
          <w:tcPr>
            <w:tcW w:w="1002" w:type="pct"/>
            <w:vAlign w:val="center"/>
          </w:tcPr>
          <w:p w:rsidR="00EE74C5" w:rsidRPr="00FC1889" w:rsidRDefault="00EE74C5" w:rsidP="00902437">
            <w:pPr>
              <w:snapToGrid w:val="0"/>
              <w:rPr>
                <w:color w:val="000000"/>
                <w:szCs w:val="21"/>
              </w:rPr>
            </w:pPr>
            <w:r>
              <w:rPr>
                <w:rFonts w:hint="eastAsia"/>
                <w:color w:val="000000"/>
                <w:szCs w:val="21"/>
              </w:rPr>
              <w:t>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1</w:t>
            </w:r>
            <w:r>
              <w:rPr>
                <w:rFonts w:hint="eastAsia"/>
                <w:color w:val="000000"/>
                <w:szCs w:val="21"/>
              </w:rPr>
              <w:t>2</w:t>
            </w:r>
          </w:p>
        </w:tc>
        <w:tc>
          <w:tcPr>
            <w:tcW w:w="445" w:type="pct"/>
            <w:vAlign w:val="center"/>
          </w:tcPr>
          <w:p w:rsidR="00EE74C5" w:rsidRDefault="00EE74C5" w:rsidP="00902437">
            <w:pPr>
              <w:snapToGrid w:val="0"/>
              <w:rPr>
                <w:color w:val="000000"/>
                <w:szCs w:val="21"/>
              </w:rPr>
            </w:pPr>
            <w:r>
              <w:rPr>
                <w:rFonts w:hint="eastAsia"/>
                <w:color w:val="000000"/>
                <w:szCs w:val="21"/>
              </w:rPr>
              <w:t>4.3.2</w:t>
            </w:r>
          </w:p>
        </w:tc>
        <w:tc>
          <w:tcPr>
            <w:tcW w:w="2325" w:type="pct"/>
            <w:vAlign w:val="center"/>
          </w:tcPr>
          <w:p w:rsidR="00EE74C5" w:rsidRPr="00C33BD8" w:rsidRDefault="00EE74C5" w:rsidP="00902437">
            <w:pPr>
              <w:snapToGrid w:val="0"/>
              <w:rPr>
                <w:color w:val="000000" w:themeColor="text1"/>
              </w:rPr>
            </w:pPr>
            <w:r w:rsidRPr="00C33BD8">
              <w:rPr>
                <w:rFonts w:hint="eastAsia"/>
                <w:color w:val="000000" w:themeColor="text1"/>
              </w:rPr>
              <w:t>3</w:t>
            </w:r>
            <w:r w:rsidRPr="00C33BD8">
              <w:rPr>
                <w:rFonts w:hint="eastAsia"/>
                <w:color w:val="000000" w:themeColor="text1"/>
              </w:rPr>
              <w:t>次评价是否太复杂？趋于稳定是否还需要再评价？</w:t>
            </w:r>
          </w:p>
        </w:tc>
        <w:tc>
          <w:tcPr>
            <w:tcW w:w="973" w:type="pct"/>
            <w:vAlign w:val="center"/>
          </w:tcPr>
          <w:p w:rsidR="00EE74C5" w:rsidRDefault="00EE74C5" w:rsidP="00902437">
            <w:pPr>
              <w:snapToGrid w:val="0"/>
              <w:rPr>
                <w:color w:val="000000"/>
                <w:szCs w:val="21"/>
              </w:rPr>
            </w:pPr>
            <w:r>
              <w:rPr>
                <w:rFonts w:hint="eastAsia"/>
                <w:color w:val="000000"/>
                <w:szCs w:val="21"/>
              </w:rPr>
              <w:t>河南理工大学郭文兵</w:t>
            </w:r>
          </w:p>
        </w:tc>
        <w:tc>
          <w:tcPr>
            <w:tcW w:w="1002" w:type="pct"/>
            <w:vAlign w:val="center"/>
          </w:tcPr>
          <w:p w:rsidR="00EE74C5" w:rsidRDefault="00EE74C5" w:rsidP="00902437">
            <w:pPr>
              <w:snapToGrid w:val="0"/>
              <w:rPr>
                <w:color w:val="000000"/>
                <w:szCs w:val="21"/>
              </w:rPr>
            </w:pPr>
            <w:r>
              <w:rPr>
                <w:rFonts w:hint="eastAsia"/>
                <w:color w:val="000000"/>
                <w:szCs w:val="21"/>
              </w:rPr>
              <w:t>未采纳，因为采空区上方建设利</w:t>
            </w:r>
            <w:r>
              <w:rPr>
                <w:rFonts w:hint="eastAsia"/>
                <w:color w:val="000000"/>
                <w:szCs w:val="21"/>
              </w:rPr>
              <w:lastRenderedPageBreak/>
              <w:t>用等需要评价后期的稳定性</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lastRenderedPageBreak/>
              <w:t>1</w:t>
            </w:r>
            <w:r>
              <w:rPr>
                <w:rFonts w:hint="eastAsia"/>
                <w:color w:val="000000"/>
                <w:szCs w:val="21"/>
              </w:rPr>
              <w:t>3</w:t>
            </w:r>
          </w:p>
        </w:tc>
        <w:tc>
          <w:tcPr>
            <w:tcW w:w="445" w:type="pct"/>
            <w:vAlign w:val="center"/>
          </w:tcPr>
          <w:p w:rsidR="00EE74C5" w:rsidRDefault="00EE74C5" w:rsidP="00902437">
            <w:pPr>
              <w:snapToGrid w:val="0"/>
              <w:rPr>
                <w:color w:val="000000"/>
                <w:szCs w:val="21"/>
              </w:rPr>
            </w:pPr>
            <w:r w:rsidRPr="00F2180A">
              <w:t>4.3.4</w:t>
            </w:r>
          </w:p>
        </w:tc>
        <w:tc>
          <w:tcPr>
            <w:tcW w:w="2325" w:type="pct"/>
            <w:vAlign w:val="center"/>
          </w:tcPr>
          <w:p w:rsidR="00EE74C5" w:rsidRPr="00C33BD8" w:rsidRDefault="00EE74C5" w:rsidP="00902437">
            <w:pPr>
              <w:snapToGrid w:val="0"/>
              <w:rPr>
                <w:color w:val="000000" w:themeColor="text1"/>
              </w:rPr>
            </w:pPr>
            <w:r w:rsidRPr="00C33BD8">
              <w:rPr>
                <w:rFonts w:hint="eastAsia"/>
                <w:color w:val="000000" w:themeColor="text1"/>
              </w:rPr>
              <w:t>应补充监测延续时间要求，或中期评估时间节点</w:t>
            </w:r>
          </w:p>
        </w:tc>
        <w:tc>
          <w:tcPr>
            <w:tcW w:w="973" w:type="pct"/>
            <w:vAlign w:val="center"/>
          </w:tcPr>
          <w:p w:rsidR="00EE74C5" w:rsidRDefault="00EE74C5" w:rsidP="00902437">
            <w:pPr>
              <w:snapToGrid w:val="0"/>
              <w:rPr>
                <w:color w:val="000000"/>
                <w:szCs w:val="21"/>
              </w:rPr>
            </w:pPr>
            <w:r>
              <w:rPr>
                <w:rFonts w:hint="eastAsia"/>
                <w:color w:val="000000"/>
                <w:szCs w:val="21"/>
              </w:rPr>
              <w:t>煤炭科学研究总院李树志</w:t>
            </w:r>
          </w:p>
        </w:tc>
        <w:tc>
          <w:tcPr>
            <w:tcW w:w="1002" w:type="pct"/>
            <w:vAlign w:val="center"/>
          </w:tcPr>
          <w:p w:rsidR="00EE74C5" w:rsidRDefault="00EE74C5" w:rsidP="00902437">
            <w:pPr>
              <w:snapToGrid w:val="0"/>
              <w:rPr>
                <w:color w:val="000000"/>
                <w:szCs w:val="21"/>
              </w:rPr>
            </w:pPr>
            <w:r>
              <w:rPr>
                <w:rFonts w:hint="eastAsia"/>
                <w:color w:val="000000"/>
                <w:szCs w:val="21"/>
              </w:rPr>
              <w:t>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1</w:t>
            </w:r>
            <w:r>
              <w:rPr>
                <w:rFonts w:hint="eastAsia"/>
                <w:color w:val="000000"/>
                <w:szCs w:val="21"/>
              </w:rPr>
              <w:t>4</w:t>
            </w:r>
          </w:p>
        </w:tc>
        <w:tc>
          <w:tcPr>
            <w:tcW w:w="445" w:type="pct"/>
            <w:vAlign w:val="center"/>
          </w:tcPr>
          <w:p w:rsidR="00EE74C5" w:rsidRPr="008573E7" w:rsidRDefault="00EE74C5" w:rsidP="00902437">
            <w:pPr>
              <w:snapToGrid w:val="0"/>
              <w:rPr>
                <w:color w:val="000000"/>
                <w:szCs w:val="21"/>
              </w:rPr>
            </w:pPr>
            <w:r>
              <w:rPr>
                <w:rFonts w:hint="eastAsia"/>
                <w:color w:val="000000"/>
                <w:szCs w:val="21"/>
              </w:rPr>
              <w:t>4.3.5</w:t>
            </w:r>
          </w:p>
        </w:tc>
        <w:tc>
          <w:tcPr>
            <w:tcW w:w="2325" w:type="pct"/>
            <w:vAlign w:val="center"/>
          </w:tcPr>
          <w:p w:rsidR="00EE74C5" w:rsidRPr="00C33BD8" w:rsidRDefault="00EE74C5" w:rsidP="00902437">
            <w:pPr>
              <w:snapToGrid w:val="0"/>
              <w:rPr>
                <w:rFonts w:ascii="宋体" w:hAnsi="宋体"/>
                <w:color w:val="000000" w:themeColor="text1"/>
                <w:szCs w:val="21"/>
              </w:rPr>
            </w:pPr>
            <w:r w:rsidRPr="00C33BD8">
              <w:rPr>
                <w:rFonts w:hint="eastAsia"/>
                <w:color w:val="000000" w:themeColor="text1"/>
              </w:rPr>
              <w:t>次生</w:t>
            </w:r>
            <w:r w:rsidRPr="00C33BD8">
              <w:rPr>
                <w:color w:val="000000" w:themeColor="text1"/>
              </w:rPr>
              <w:t>沉陷趋于稳定</w:t>
            </w:r>
            <w:r w:rsidRPr="00C33BD8">
              <w:rPr>
                <w:rFonts w:hint="eastAsia"/>
                <w:color w:val="000000" w:themeColor="text1"/>
              </w:rPr>
              <w:t>如何定义？</w:t>
            </w:r>
          </w:p>
        </w:tc>
        <w:tc>
          <w:tcPr>
            <w:tcW w:w="973" w:type="pct"/>
            <w:vAlign w:val="center"/>
          </w:tcPr>
          <w:p w:rsidR="00EE74C5" w:rsidRPr="008573E7" w:rsidRDefault="00EE74C5" w:rsidP="00902437">
            <w:pPr>
              <w:snapToGrid w:val="0"/>
              <w:rPr>
                <w:color w:val="000000"/>
                <w:szCs w:val="21"/>
              </w:rPr>
            </w:pPr>
            <w:r>
              <w:rPr>
                <w:rFonts w:hint="eastAsia"/>
                <w:color w:val="000000"/>
                <w:szCs w:val="21"/>
              </w:rPr>
              <w:t>天地科技股份有限公司申宝宏</w:t>
            </w:r>
          </w:p>
        </w:tc>
        <w:tc>
          <w:tcPr>
            <w:tcW w:w="1002" w:type="pct"/>
            <w:vAlign w:val="center"/>
          </w:tcPr>
          <w:p w:rsidR="00EE74C5" w:rsidRPr="008573E7" w:rsidRDefault="00EE74C5" w:rsidP="00902437">
            <w:pPr>
              <w:snapToGrid w:val="0"/>
              <w:rPr>
                <w:color w:val="000000"/>
                <w:szCs w:val="21"/>
              </w:rPr>
            </w:pPr>
            <w:r>
              <w:rPr>
                <w:rFonts w:hint="eastAsia"/>
                <w:color w:val="000000"/>
                <w:szCs w:val="21"/>
              </w:rPr>
              <w:t>后面定义了稳定指标，未采纳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1</w:t>
            </w:r>
            <w:r>
              <w:rPr>
                <w:rFonts w:hint="eastAsia"/>
                <w:color w:val="000000"/>
                <w:szCs w:val="21"/>
              </w:rPr>
              <w:t>5</w:t>
            </w:r>
          </w:p>
        </w:tc>
        <w:tc>
          <w:tcPr>
            <w:tcW w:w="445" w:type="pct"/>
            <w:vAlign w:val="center"/>
          </w:tcPr>
          <w:p w:rsidR="00EE74C5" w:rsidRDefault="00EE74C5" w:rsidP="00902437">
            <w:pPr>
              <w:snapToGrid w:val="0"/>
              <w:rPr>
                <w:color w:val="000000"/>
                <w:szCs w:val="21"/>
              </w:rPr>
            </w:pPr>
            <w:r>
              <w:rPr>
                <w:rFonts w:hint="eastAsia"/>
                <w:color w:val="000000"/>
                <w:szCs w:val="21"/>
              </w:rPr>
              <w:t>4.4.5</w:t>
            </w:r>
          </w:p>
        </w:tc>
        <w:tc>
          <w:tcPr>
            <w:tcW w:w="2325" w:type="pct"/>
            <w:vAlign w:val="center"/>
          </w:tcPr>
          <w:p w:rsidR="00EE74C5" w:rsidRPr="00993EAE" w:rsidRDefault="00EE74C5" w:rsidP="00902437">
            <w:pPr>
              <w:snapToGrid w:val="0"/>
              <w:rPr>
                <w:color w:val="000000" w:themeColor="text1"/>
              </w:rPr>
            </w:pPr>
            <w:r w:rsidRPr="00993EAE">
              <w:rPr>
                <w:color w:val="000000" w:themeColor="text1"/>
              </w:rPr>
              <w:t>4.4.5</w:t>
            </w:r>
            <w:r w:rsidRPr="00993EAE">
              <w:rPr>
                <w:rFonts w:hint="eastAsia"/>
                <w:color w:val="000000" w:themeColor="text1"/>
              </w:rPr>
              <w:t>与</w:t>
            </w:r>
            <w:r w:rsidRPr="00993EAE">
              <w:rPr>
                <w:rFonts w:hint="eastAsia"/>
                <w:color w:val="000000" w:themeColor="text1"/>
              </w:rPr>
              <w:t>4.3.5</w:t>
            </w:r>
            <w:r w:rsidRPr="00993EAE">
              <w:rPr>
                <w:rFonts w:hint="eastAsia"/>
                <w:color w:val="000000" w:themeColor="text1"/>
              </w:rPr>
              <w:t>重复，去掉</w:t>
            </w:r>
          </w:p>
        </w:tc>
        <w:tc>
          <w:tcPr>
            <w:tcW w:w="973" w:type="pct"/>
            <w:vAlign w:val="center"/>
          </w:tcPr>
          <w:p w:rsidR="00EE74C5" w:rsidRDefault="00EE74C5" w:rsidP="00902437">
            <w:pPr>
              <w:snapToGrid w:val="0"/>
              <w:rPr>
                <w:color w:val="000000"/>
                <w:szCs w:val="21"/>
              </w:rPr>
            </w:pPr>
            <w:r>
              <w:rPr>
                <w:rFonts w:hint="eastAsia"/>
                <w:color w:val="000000"/>
                <w:szCs w:val="21"/>
              </w:rPr>
              <w:t>煤炭科学研究总院李树志</w:t>
            </w:r>
          </w:p>
        </w:tc>
        <w:tc>
          <w:tcPr>
            <w:tcW w:w="1002" w:type="pct"/>
            <w:vAlign w:val="center"/>
          </w:tcPr>
          <w:p w:rsidR="00EE74C5" w:rsidRDefault="00EE74C5" w:rsidP="00902437">
            <w:pPr>
              <w:snapToGrid w:val="0"/>
              <w:rPr>
                <w:color w:val="000000"/>
                <w:szCs w:val="21"/>
              </w:rPr>
            </w:pPr>
            <w:r>
              <w:rPr>
                <w:rFonts w:hint="eastAsia"/>
                <w:color w:val="000000"/>
                <w:szCs w:val="21"/>
              </w:rPr>
              <w:t>未采纳，因保持评价工作的完整性</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1</w:t>
            </w:r>
            <w:r>
              <w:rPr>
                <w:rFonts w:hint="eastAsia"/>
                <w:color w:val="000000"/>
                <w:szCs w:val="21"/>
              </w:rPr>
              <w:t>6</w:t>
            </w:r>
          </w:p>
        </w:tc>
        <w:tc>
          <w:tcPr>
            <w:tcW w:w="445" w:type="pct"/>
            <w:vAlign w:val="center"/>
          </w:tcPr>
          <w:p w:rsidR="00EE74C5" w:rsidRPr="008573E7" w:rsidRDefault="00EE74C5" w:rsidP="00902437">
            <w:pPr>
              <w:snapToGrid w:val="0"/>
              <w:rPr>
                <w:rFonts w:ascii="宋体" w:hAnsi="宋体"/>
                <w:color w:val="000000"/>
                <w:szCs w:val="21"/>
              </w:rPr>
            </w:pPr>
            <w:r w:rsidRPr="00F2180A">
              <w:t>4.5.3</w:t>
            </w:r>
          </w:p>
        </w:tc>
        <w:tc>
          <w:tcPr>
            <w:tcW w:w="2325" w:type="pct"/>
            <w:vAlign w:val="center"/>
          </w:tcPr>
          <w:p w:rsidR="00EE74C5" w:rsidRPr="008959C2" w:rsidRDefault="00EE74C5" w:rsidP="00902437">
            <w:pPr>
              <w:snapToGrid w:val="0"/>
            </w:pPr>
            <w:r w:rsidRPr="00F2180A">
              <w:t>在潜在滑坡、崩塌区，监测与评价范围应扩展至滑坡影响范围外</w:t>
            </w:r>
            <w:r>
              <w:rPr>
                <w:rFonts w:hint="eastAsia"/>
              </w:rPr>
              <w:t>（</w:t>
            </w:r>
            <w:r w:rsidRPr="00F2180A">
              <w:t>影响范围外</w:t>
            </w:r>
            <w:r>
              <w:rPr>
                <w:rFonts w:hint="eastAsia"/>
              </w:rPr>
              <w:t>如何界定？）</w:t>
            </w:r>
            <w:r w:rsidRPr="00F2180A">
              <w:t>。监测范围应扩展至滑坡影响范围外</w:t>
            </w:r>
            <w:r w:rsidRPr="00F2180A">
              <w:t>100-200m</w:t>
            </w:r>
            <w:r w:rsidRPr="00F2180A">
              <w:t>。</w:t>
            </w:r>
          </w:p>
        </w:tc>
        <w:tc>
          <w:tcPr>
            <w:tcW w:w="973" w:type="pct"/>
            <w:vAlign w:val="center"/>
          </w:tcPr>
          <w:p w:rsidR="00EE74C5" w:rsidRPr="008573E7" w:rsidRDefault="00EE74C5" w:rsidP="00902437">
            <w:pPr>
              <w:snapToGrid w:val="0"/>
              <w:rPr>
                <w:color w:val="000000"/>
                <w:szCs w:val="21"/>
              </w:rPr>
            </w:pPr>
            <w:r>
              <w:rPr>
                <w:rFonts w:hint="eastAsia"/>
                <w:color w:val="000000"/>
                <w:szCs w:val="21"/>
              </w:rPr>
              <w:t>天地科技股份有限公司申宝宏</w:t>
            </w:r>
          </w:p>
        </w:tc>
        <w:tc>
          <w:tcPr>
            <w:tcW w:w="1002" w:type="pct"/>
            <w:vAlign w:val="center"/>
          </w:tcPr>
          <w:p w:rsidR="00EE74C5" w:rsidRPr="008573E7" w:rsidRDefault="00EE74C5" w:rsidP="00902437">
            <w:pPr>
              <w:snapToGrid w:val="0"/>
              <w:rPr>
                <w:color w:val="000000"/>
                <w:szCs w:val="21"/>
              </w:rPr>
            </w:pPr>
            <w:r>
              <w:rPr>
                <w:rFonts w:hint="eastAsia"/>
                <w:color w:val="000000"/>
                <w:szCs w:val="21"/>
              </w:rPr>
              <w:t>部分采纳，去掉</w:t>
            </w:r>
            <w:r w:rsidRPr="00F2180A">
              <w:t>监测范围应扩展至滑坡影响范围外</w:t>
            </w:r>
            <w:r w:rsidRPr="00F2180A">
              <w:t>100-200m</w:t>
            </w:r>
            <w:r w:rsidRPr="00F2180A">
              <w:t>。</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1</w:t>
            </w:r>
            <w:r>
              <w:rPr>
                <w:rFonts w:hint="eastAsia"/>
                <w:color w:val="000000"/>
                <w:szCs w:val="21"/>
              </w:rPr>
              <w:t>7</w:t>
            </w:r>
          </w:p>
        </w:tc>
        <w:tc>
          <w:tcPr>
            <w:tcW w:w="445" w:type="pct"/>
            <w:vAlign w:val="center"/>
          </w:tcPr>
          <w:p w:rsidR="00EE74C5" w:rsidRPr="008573E7" w:rsidRDefault="00EE74C5" w:rsidP="00902437">
            <w:pPr>
              <w:snapToGrid w:val="0"/>
              <w:rPr>
                <w:color w:val="000000"/>
                <w:szCs w:val="21"/>
              </w:rPr>
            </w:pPr>
            <w:r w:rsidRPr="00F2180A">
              <w:t>4.5.5</w:t>
            </w:r>
          </w:p>
        </w:tc>
        <w:tc>
          <w:tcPr>
            <w:tcW w:w="2325" w:type="pct"/>
            <w:vAlign w:val="center"/>
          </w:tcPr>
          <w:p w:rsidR="00EE74C5" w:rsidRPr="008573E7" w:rsidRDefault="00EE74C5" w:rsidP="00902437">
            <w:pPr>
              <w:snapToGrid w:val="0"/>
              <w:rPr>
                <w:rFonts w:ascii="宋体" w:hAnsi="宋体"/>
                <w:color w:val="000000"/>
                <w:szCs w:val="21"/>
              </w:rPr>
            </w:pPr>
            <w:r w:rsidRPr="00F2180A">
              <w:t>地裂缝监测与评价范围应划致纵向延展与横向错</w:t>
            </w:r>
            <w:bookmarkStart w:id="2" w:name="OLE_LINK1"/>
            <w:bookmarkStart w:id="3" w:name="OLE_LINK2"/>
            <w:r w:rsidRPr="00F2180A">
              <w:t>动的影响边界</w:t>
            </w:r>
            <w:bookmarkEnd w:id="2"/>
            <w:bookmarkEnd w:id="3"/>
            <w:r w:rsidRPr="00F2180A">
              <w:rPr>
                <w:rFonts w:hint="eastAsia"/>
              </w:rPr>
              <w:t>外</w:t>
            </w:r>
            <w:r>
              <w:rPr>
                <w:rFonts w:hint="eastAsia"/>
              </w:rPr>
              <w:t>（</w:t>
            </w:r>
            <w:r w:rsidRPr="00F2180A">
              <w:t>影响范围外</w:t>
            </w:r>
            <w:r>
              <w:rPr>
                <w:rFonts w:hint="eastAsia"/>
              </w:rPr>
              <w:t>如何界定？）</w:t>
            </w:r>
          </w:p>
        </w:tc>
        <w:tc>
          <w:tcPr>
            <w:tcW w:w="973" w:type="pct"/>
            <w:vAlign w:val="center"/>
          </w:tcPr>
          <w:p w:rsidR="00EE74C5" w:rsidRPr="008573E7" w:rsidRDefault="00EE74C5" w:rsidP="00902437">
            <w:pPr>
              <w:snapToGrid w:val="0"/>
              <w:rPr>
                <w:color w:val="000000"/>
                <w:szCs w:val="21"/>
              </w:rPr>
            </w:pPr>
            <w:r>
              <w:rPr>
                <w:rFonts w:hint="eastAsia"/>
                <w:color w:val="000000"/>
                <w:szCs w:val="21"/>
              </w:rPr>
              <w:t>天地科技股份有限公司申宝宏</w:t>
            </w:r>
          </w:p>
        </w:tc>
        <w:tc>
          <w:tcPr>
            <w:tcW w:w="1002" w:type="pct"/>
            <w:vAlign w:val="center"/>
          </w:tcPr>
          <w:p w:rsidR="00EE74C5" w:rsidRPr="008573E7" w:rsidRDefault="00EE74C5" w:rsidP="00902437">
            <w:pPr>
              <w:snapToGrid w:val="0"/>
              <w:rPr>
                <w:color w:val="000000"/>
                <w:szCs w:val="21"/>
              </w:rPr>
            </w:pPr>
            <w:r>
              <w:rPr>
                <w:rFonts w:hint="eastAsia"/>
                <w:color w:val="000000"/>
                <w:szCs w:val="21"/>
              </w:rPr>
              <w:t>未采纳，因可以通过分析确定地裂缝范围</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1</w:t>
            </w:r>
            <w:r>
              <w:rPr>
                <w:rFonts w:hint="eastAsia"/>
                <w:color w:val="000000"/>
                <w:szCs w:val="21"/>
              </w:rPr>
              <w:t>8</w:t>
            </w:r>
          </w:p>
        </w:tc>
        <w:tc>
          <w:tcPr>
            <w:tcW w:w="445" w:type="pct"/>
            <w:vAlign w:val="center"/>
          </w:tcPr>
          <w:p w:rsidR="00EE74C5" w:rsidRPr="00F2180A" w:rsidRDefault="00EE74C5" w:rsidP="00902437">
            <w:pPr>
              <w:snapToGrid w:val="0"/>
            </w:pPr>
            <w:r>
              <w:rPr>
                <w:rFonts w:hint="eastAsia"/>
              </w:rPr>
              <w:t>5.2</w:t>
            </w:r>
          </w:p>
        </w:tc>
        <w:tc>
          <w:tcPr>
            <w:tcW w:w="2325" w:type="pct"/>
            <w:vAlign w:val="center"/>
          </w:tcPr>
          <w:p w:rsidR="00EE74C5" w:rsidRPr="00F2180A" w:rsidRDefault="00EE74C5" w:rsidP="00902437">
            <w:pPr>
              <w:snapToGrid w:val="0"/>
            </w:pPr>
            <w:r>
              <w:rPr>
                <w:rFonts w:hint="eastAsia"/>
              </w:rPr>
              <w:t>增加收集关闭矿井地质报告</w:t>
            </w:r>
          </w:p>
        </w:tc>
        <w:tc>
          <w:tcPr>
            <w:tcW w:w="973" w:type="pct"/>
            <w:vAlign w:val="center"/>
          </w:tcPr>
          <w:p w:rsidR="00EE74C5" w:rsidRDefault="00EE74C5" w:rsidP="00902437">
            <w:pPr>
              <w:snapToGrid w:val="0"/>
              <w:rPr>
                <w:color w:val="000000"/>
                <w:szCs w:val="21"/>
              </w:rPr>
            </w:pPr>
            <w:r>
              <w:rPr>
                <w:rFonts w:hint="eastAsia"/>
                <w:color w:val="000000"/>
                <w:szCs w:val="21"/>
              </w:rPr>
              <w:t>天地科技股份有限公司胡炳南</w:t>
            </w:r>
          </w:p>
        </w:tc>
        <w:tc>
          <w:tcPr>
            <w:tcW w:w="1002" w:type="pct"/>
            <w:vAlign w:val="center"/>
          </w:tcPr>
          <w:p w:rsidR="00EE74C5" w:rsidRDefault="00EE74C5" w:rsidP="00902437">
            <w:pPr>
              <w:snapToGrid w:val="0"/>
              <w:rPr>
                <w:color w:val="000000"/>
                <w:szCs w:val="21"/>
              </w:rPr>
            </w:pPr>
            <w:r>
              <w:rPr>
                <w:rFonts w:hint="eastAsia"/>
                <w:color w:val="000000"/>
                <w:szCs w:val="21"/>
              </w:rPr>
              <w:t>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Pr>
                <w:rFonts w:hint="eastAsia"/>
                <w:color w:val="000000"/>
                <w:szCs w:val="21"/>
              </w:rPr>
              <w:t>19</w:t>
            </w:r>
          </w:p>
        </w:tc>
        <w:tc>
          <w:tcPr>
            <w:tcW w:w="445" w:type="pct"/>
            <w:vAlign w:val="center"/>
          </w:tcPr>
          <w:p w:rsidR="00EE74C5" w:rsidRPr="008573E7" w:rsidRDefault="00EE74C5" w:rsidP="00902437">
            <w:pPr>
              <w:snapToGrid w:val="0"/>
              <w:rPr>
                <w:color w:val="000000"/>
                <w:szCs w:val="21"/>
              </w:rPr>
            </w:pPr>
            <w:r w:rsidRPr="00F2180A">
              <w:t>5.4</w:t>
            </w:r>
          </w:p>
        </w:tc>
        <w:tc>
          <w:tcPr>
            <w:tcW w:w="2325" w:type="pct"/>
            <w:vAlign w:val="center"/>
          </w:tcPr>
          <w:p w:rsidR="00EE74C5" w:rsidRPr="008959C2" w:rsidRDefault="00EE74C5" w:rsidP="00902437">
            <w:pPr>
              <w:snapToGrid w:val="0"/>
            </w:pPr>
            <w:r w:rsidRPr="00F2180A">
              <w:rPr>
                <w:rFonts w:hint="eastAsia"/>
              </w:rPr>
              <w:t>收</w:t>
            </w:r>
            <w:r w:rsidRPr="00F2180A">
              <w:t>集矿井井上下对照图、采掘工程平面图，</w:t>
            </w:r>
            <w:r w:rsidRPr="008959C2">
              <w:t>一般应包括</w:t>
            </w:r>
            <w:r>
              <w:rPr>
                <w:rFonts w:hint="eastAsia"/>
              </w:rPr>
              <w:t>（前面</w:t>
            </w:r>
            <w:r>
              <w:rPr>
                <w:rFonts w:hint="eastAsia"/>
              </w:rPr>
              <w:t>2</w:t>
            </w:r>
            <w:r>
              <w:rPr>
                <w:rFonts w:hint="eastAsia"/>
              </w:rPr>
              <w:t>个图不包括下述内容？）</w:t>
            </w:r>
            <w:r w:rsidRPr="00F2180A">
              <w:t>：地面建构筑物分布，开采范围、层数、工作面开采起止时间、采煤方法、顶板管理方法、采厚、采深等。</w:t>
            </w:r>
          </w:p>
        </w:tc>
        <w:tc>
          <w:tcPr>
            <w:tcW w:w="973" w:type="pct"/>
            <w:vAlign w:val="center"/>
          </w:tcPr>
          <w:p w:rsidR="00EE74C5" w:rsidRPr="008573E7" w:rsidRDefault="00EE74C5" w:rsidP="00902437">
            <w:pPr>
              <w:snapToGrid w:val="0"/>
              <w:rPr>
                <w:color w:val="000000"/>
                <w:szCs w:val="21"/>
              </w:rPr>
            </w:pPr>
            <w:r>
              <w:rPr>
                <w:rFonts w:hint="eastAsia"/>
                <w:color w:val="000000"/>
                <w:szCs w:val="21"/>
              </w:rPr>
              <w:t>天地科技股份有限公司申宝宏</w:t>
            </w:r>
          </w:p>
        </w:tc>
        <w:tc>
          <w:tcPr>
            <w:tcW w:w="1002" w:type="pct"/>
            <w:vAlign w:val="center"/>
          </w:tcPr>
          <w:p w:rsidR="00EE74C5" w:rsidRPr="008573E7" w:rsidRDefault="00EE74C5" w:rsidP="00902437">
            <w:pPr>
              <w:snapToGrid w:val="0"/>
              <w:rPr>
                <w:color w:val="000000"/>
                <w:szCs w:val="21"/>
              </w:rPr>
            </w:pPr>
            <w:r>
              <w:rPr>
                <w:rFonts w:hint="eastAsia"/>
                <w:color w:val="000000"/>
                <w:szCs w:val="21"/>
              </w:rPr>
              <w:t>未采纳，因为比例尺小的图可能不包含详细的地物及工作面开采资料</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2</w:t>
            </w:r>
            <w:r>
              <w:rPr>
                <w:rFonts w:hint="eastAsia"/>
                <w:color w:val="000000"/>
                <w:szCs w:val="21"/>
              </w:rPr>
              <w:t>0</w:t>
            </w:r>
          </w:p>
        </w:tc>
        <w:tc>
          <w:tcPr>
            <w:tcW w:w="445" w:type="pct"/>
            <w:vAlign w:val="center"/>
          </w:tcPr>
          <w:p w:rsidR="00EE74C5" w:rsidRPr="008573E7" w:rsidRDefault="00EE74C5" w:rsidP="00902437">
            <w:pPr>
              <w:snapToGrid w:val="0"/>
              <w:rPr>
                <w:color w:val="000000"/>
                <w:szCs w:val="21"/>
              </w:rPr>
            </w:pPr>
            <w:r>
              <w:rPr>
                <w:rFonts w:hint="eastAsia"/>
                <w:color w:val="000000"/>
                <w:szCs w:val="21"/>
              </w:rPr>
              <w:t>6</w:t>
            </w:r>
          </w:p>
        </w:tc>
        <w:tc>
          <w:tcPr>
            <w:tcW w:w="2325" w:type="pct"/>
            <w:vAlign w:val="center"/>
          </w:tcPr>
          <w:p w:rsidR="00EE74C5" w:rsidRPr="0088655E" w:rsidRDefault="00EE74C5" w:rsidP="00902437">
            <w:pPr>
              <w:snapToGrid w:val="0"/>
            </w:pPr>
            <w:r w:rsidRPr="0088655E">
              <w:t>关闭井工矿次生沉陷灾害监测</w:t>
            </w:r>
            <w:r w:rsidRPr="0088655E">
              <w:rPr>
                <w:rFonts w:hint="eastAsia"/>
              </w:rPr>
              <w:t>工作实施</w:t>
            </w:r>
          </w:p>
        </w:tc>
        <w:tc>
          <w:tcPr>
            <w:tcW w:w="973" w:type="pct"/>
            <w:vAlign w:val="center"/>
          </w:tcPr>
          <w:p w:rsidR="00EE74C5" w:rsidRPr="0088655E" w:rsidRDefault="00EE74C5" w:rsidP="00902437">
            <w:pPr>
              <w:snapToGrid w:val="0"/>
            </w:pPr>
            <w:r w:rsidRPr="0088655E">
              <w:rPr>
                <w:rFonts w:hint="eastAsia"/>
              </w:rPr>
              <w:t>天地科技股份有限公司申宝宏</w:t>
            </w:r>
          </w:p>
        </w:tc>
        <w:tc>
          <w:tcPr>
            <w:tcW w:w="1002" w:type="pct"/>
            <w:vAlign w:val="center"/>
          </w:tcPr>
          <w:p w:rsidR="00EE74C5" w:rsidRPr="0088655E" w:rsidRDefault="00EE74C5" w:rsidP="00902437">
            <w:pPr>
              <w:snapToGrid w:val="0"/>
            </w:pPr>
            <w:r w:rsidRPr="0088655E">
              <w:rPr>
                <w:rFonts w:hint="eastAsia"/>
              </w:rPr>
              <w:t>未采纳，因为增加工作实施四字意义不大</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2</w:t>
            </w:r>
            <w:r>
              <w:rPr>
                <w:rFonts w:hint="eastAsia"/>
                <w:color w:val="000000"/>
                <w:szCs w:val="21"/>
              </w:rPr>
              <w:t>1</w:t>
            </w:r>
          </w:p>
        </w:tc>
        <w:tc>
          <w:tcPr>
            <w:tcW w:w="445" w:type="pct"/>
            <w:vAlign w:val="center"/>
          </w:tcPr>
          <w:p w:rsidR="00EE74C5" w:rsidRDefault="00EE74C5" w:rsidP="00902437">
            <w:pPr>
              <w:snapToGrid w:val="0"/>
              <w:rPr>
                <w:color w:val="000000"/>
                <w:szCs w:val="21"/>
              </w:rPr>
            </w:pPr>
            <w:r>
              <w:rPr>
                <w:rFonts w:hint="eastAsia"/>
                <w:color w:val="000000"/>
                <w:szCs w:val="21"/>
              </w:rPr>
              <w:t>6.1.2</w:t>
            </w:r>
            <w:r>
              <w:rPr>
                <w:rFonts w:hint="eastAsia"/>
                <w:color w:val="000000"/>
                <w:szCs w:val="21"/>
              </w:rPr>
              <w:t>、</w:t>
            </w:r>
            <w:r>
              <w:rPr>
                <w:rFonts w:hint="eastAsia"/>
                <w:color w:val="000000"/>
                <w:szCs w:val="21"/>
              </w:rPr>
              <w:t>6.1.4</w:t>
            </w:r>
          </w:p>
          <w:p w:rsidR="00EE74C5" w:rsidRDefault="00EE74C5" w:rsidP="00902437">
            <w:pPr>
              <w:snapToGrid w:val="0"/>
              <w:rPr>
                <w:color w:val="000000"/>
                <w:szCs w:val="21"/>
              </w:rPr>
            </w:pPr>
            <w:r>
              <w:rPr>
                <w:rFonts w:hint="eastAsia"/>
                <w:color w:val="000000"/>
                <w:szCs w:val="21"/>
              </w:rPr>
              <w:t>6.1.7</w:t>
            </w:r>
          </w:p>
        </w:tc>
        <w:tc>
          <w:tcPr>
            <w:tcW w:w="2325" w:type="pct"/>
            <w:vAlign w:val="center"/>
          </w:tcPr>
          <w:p w:rsidR="00EE74C5" w:rsidRPr="0088655E" w:rsidRDefault="00EE74C5" w:rsidP="00902437">
            <w:pPr>
              <w:snapToGrid w:val="0"/>
            </w:pPr>
            <w:r w:rsidRPr="0088655E">
              <w:rPr>
                <w:rFonts w:hint="eastAsia"/>
              </w:rPr>
              <w:t>建议删除</w:t>
            </w:r>
            <w:r w:rsidRPr="007F67F0">
              <w:rPr>
                <w:rFonts w:hint="eastAsia"/>
              </w:rPr>
              <w:t>主管部门或责任单位</w:t>
            </w:r>
            <w:r>
              <w:rPr>
                <w:rFonts w:hint="eastAsia"/>
              </w:rPr>
              <w:t>认可</w:t>
            </w:r>
          </w:p>
        </w:tc>
        <w:tc>
          <w:tcPr>
            <w:tcW w:w="973" w:type="pct"/>
            <w:vAlign w:val="center"/>
          </w:tcPr>
          <w:p w:rsidR="00EE74C5" w:rsidRPr="0088655E" w:rsidRDefault="00EE74C5" w:rsidP="00902437">
            <w:pPr>
              <w:snapToGrid w:val="0"/>
            </w:pPr>
            <w:r w:rsidRPr="0088655E">
              <w:rPr>
                <w:rFonts w:hint="eastAsia"/>
              </w:rPr>
              <w:t>煤炭科学研究总院李树志</w:t>
            </w:r>
          </w:p>
        </w:tc>
        <w:tc>
          <w:tcPr>
            <w:tcW w:w="1002" w:type="pct"/>
            <w:vAlign w:val="center"/>
          </w:tcPr>
          <w:p w:rsidR="00EE74C5" w:rsidRPr="0088655E" w:rsidRDefault="00EE74C5" w:rsidP="00902437">
            <w:pPr>
              <w:snapToGrid w:val="0"/>
            </w:pPr>
            <w:r w:rsidRPr="0088655E">
              <w:rPr>
                <w:rFonts w:hint="eastAsia"/>
              </w:rPr>
              <w:t>未采纳，因为需要有责任监督部门</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2</w:t>
            </w:r>
            <w:r>
              <w:rPr>
                <w:rFonts w:hint="eastAsia"/>
                <w:color w:val="000000"/>
                <w:szCs w:val="21"/>
              </w:rPr>
              <w:t>2</w:t>
            </w:r>
          </w:p>
        </w:tc>
        <w:tc>
          <w:tcPr>
            <w:tcW w:w="445" w:type="pct"/>
            <w:vAlign w:val="center"/>
          </w:tcPr>
          <w:p w:rsidR="00EE74C5" w:rsidRDefault="00EE74C5" w:rsidP="00902437">
            <w:pPr>
              <w:snapToGrid w:val="0"/>
              <w:rPr>
                <w:color w:val="000000"/>
                <w:szCs w:val="21"/>
              </w:rPr>
            </w:pPr>
            <w:r>
              <w:rPr>
                <w:rFonts w:hint="eastAsia"/>
                <w:color w:val="000000"/>
                <w:szCs w:val="21"/>
              </w:rPr>
              <w:t>6.1.7</w:t>
            </w:r>
          </w:p>
        </w:tc>
        <w:tc>
          <w:tcPr>
            <w:tcW w:w="2325" w:type="pct"/>
            <w:vAlign w:val="center"/>
          </w:tcPr>
          <w:p w:rsidR="00EE74C5" w:rsidRPr="0088655E" w:rsidRDefault="00EE74C5" w:rsidP="00902437">
            <w:pPr>
              <w:snapToGrid w:val="0"/>
            </w:pPr>
            <w:r>
              <w:rPr>
                <w:rFonts w:hint="eastAsia"/>
              </w:rPr>
              <w:t>经主管部门或</w:t>
            </w:r>
            <w:r w:rsidRPr="00F2180A">
              <w:t>责任单位批准后</w:t>
            </w:r>
            <w:r w:rsidRPr="00F2180A">
              <w:rPr>
                <w:rFonts w:hint="eastAsia"/>
              </w:rPr>
              <w:t>方</w:t>
            </w:r>
            <w:r w:rsidRPr="00F2180A">
              <w:t>可结束监测工作</w:t>
            </w:r>
            <w:r>
              <w:rPr>
                <w:rFonts w:hint="eastAsia"/>
              </w:rPr>
              <w:t>，去掉主管部门或</w:t>
            </w:r>
          </w:p>
        </w:tc>
        <w:tc>
          <w:tcPr>
            <w:tcW w:w="973" w:type="pct"/>
            <w:vAlign w:val="center"/>
          </w:tcPr>
          <w:p w:rsidR="00EE74C5" w:rsidRPr="0088655E" w:rsidRDefault="00EE74C5" w:rsidP="00902437">
            <w:pPr>
              <w:snapToGrid w:val="0"/>
            </w:pPr>
            <w:r w:rsidRPr="0088655E">
              <w:rPr>
                <w:rFonts w:hint="eastAsia"/>
              </w:rPr>
              <w:t>河南理工大学郭文兵</w:t>
            </w:r>
          </w:p>
        </w:tc>
        <w:tc>
          <w:tcPr>
            <w:tcW w:w="1002" w:type="pct"/>
            <w:vAlign w:val="center"/>
          </w:tcPr>
          <w:p w:rsidR="00EE74C5" w:rsidRPr="0088655E" w:rsidRDefault="00EE74C5" w:rsidP="00902437">
            <w:pPr>
              <w:snapToGrid w:val="0"/>
            </w:pPr>
            <w:r w:rsidRPr="0088655E">
              <w:rPr>
                <w:rFonts w:hint="eastAsia"/>
              </w:rPr>
              <w:t>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2</w:t>
            </w:r>
            <w:r>
              <w:rPr>
                <w:rFonts w:hint="eastAsia"/>
                <w:color w:val="000000"/>
                <w:szCs w:val="21"/>
              </w:rPr>
              <w:t>3</w:t>
            </w:r>
          </w:p>
        </w:tc>
        <w:tc>
          <w:tcPr>
            <w:tcW w:w="445" w:type="pct"/>
            <w:vAlign w:val="center"/>
          </w:tcPr>
          <w:p w:rsidR="00EE74C5" w:rsidRDefault="00EE74C5" w:rsidP="00902437">
            <w:pPr>
              <w:snapToGrid w:val="0"/>
              <w:rPr>
                <w:color w:val="000000"/>
                <w:szCs w:val="21"/>
              </w:rPr>
            </w:pPr>
            <w:r>
              <w:rPr>
                <w:rFonts w:hint="eastAsia"/>
                <w:color w:val="000000"/>
                <w:szCs w:val="21"/>
              </w:rPr>
              <w:t>6.2.1</w:t>
            </w:r>
          </w:p>
        </w:tc>
        <w:tc>
          <w:tcPr>
            <w:tcW w:w="2325" w:type="pct"/>
            <w:vAlign w:val="center"/>
          </w:tcPr>
          <w:p w:rsidR="00EE74C5" w:rsidRDefault="00EE74C5" w:rsidP="00902437">
            <w:pPr>
              <w:snapToGrid w:val="0"/>
            </w:pPr>
            <w:r>
              <w:rPr>
                <w:rFonts w:hint="eastAsia"/>
              </w:rPr>
              <w:t>将</w:t>
            </w:r>
            <w:bookmarkStart w:id="4" w:name="_Hlk78557636"/>
            <w:r w:rsidRPr="0088655E">
              <w:rPr>
                <w:rFonts w:hint="eastAsia"/>
              </w:rPr>
              <w:t>矿井监测级别</w:t>
            </w:r>
            <w:bookmarkEnd w:id="4"/>
            <w:r w:rsidRPr="0088655E">
              <w:rPr>
                <w:rFonts w:hint="eastAsia"/>
              </w:rPr>
              <w:t>改为监测类型，去掉了表中的监测栏，改为文字表述</w:t>
            </w:r>
          </w:p>
        </w:tc>
        <w:tc>
          <w:tcPr>
            <w:tcW w:w="973" w:type="pct"/>
            <w:vAlign w:val="center"/>
          </w:tcPr>
          <w:p w:rsidR="00EE74C5" w:rsidRPr="0088655E" w:rsidRDefault="00EE74C5" w:rsidP="00902437">
            <w:pPr>
              <w:snapToGrid w:val="0"/>
            </w:pPr>
            <w:r w:rsidRPr="0088655E">
              <w:rPr>
                <w:rFonts w:hint="eastAsia"/>
              </w:rPr>
              <w:t>大会讨论、煤炭科学研究总院李树志等</w:t>
            </w:r>
          </w:p>
        </w:tc>
        <w:tc>
          <w:tcPr>
            <w:tcW w:w="1002" w:type="pct"/>
            <w:vAlign w:val="center"/>
          </w:tcPr>
          <w:p w:rsidR="00EE74C5" w:rsidRPr="0088655E" w:rsidRDefault="00EE74C5" w:rsidP="00902437">
            <w:pPr>
              <w:snapToGrid w:val="0"/>
            </w:pPr>
            <w:r w:rsidRPr="0088655E">
              <w:rPr>
                <w:rFonts w:hint="eastAsia"/>
              </w:rPr>
              <w:t>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2</w:t>
            </w:r>
            <w:r>
              <w:rPr>
                <w:rFonts w:hint="eastAsia"/>
                <w:color w:val="000000"/>
                <w:szCs w:val="21"/>
              </w:rPr>
              <w:t>4</w:t>
            </w:r>
          </w:p>
        </w:tc>
        <w:tc>
          <w:tcPr>
            <w:tcW w:w="445" w:type="pct"/>
            <w:vAlign w:val="center"/>
          </w:tcPr>
          <w:p w:rsidR="00EE74C5" w:rsidRPr="008573E7" w:rsidRDefault="00EE74C5" w:rsidP="00902437">
            <w:pPr>
              <w:snapToGrid w:val="0"/>
              <w:rPr>
                <w:color w:val="000000"/>
                <w:szCs w:val="21"/>
              </w:rPr>
            </w:pPr>
            <w:r>
              <w:rPr>
                <w:rFonts w:hint="eastAsia"/>
                <w:color w:val="000000"/>
                <w:szCs w:val="21"/>
              </w:rPr>
              <w:t>6.2.2</w:t>
            </w:r>
          </w:p>
        </w:tc>
        <w:tc>
          <w:tcPr>
            <w:tcW w:w="2325" w:type="pct"/>
            <w:vAlign w:val="center"/>
          </w:tcPr>
          <w:p w:rsidR="00EE74C5" w:rsidRPr="0088655E" w:rsidRDefault="00EE74C5" w:rsidP="00902437">
            <w:pPr>
              <w:snapToGrid w:val="0"/>
            </w:pPr>
            <w:r w:rsidRPr="00F2180A">
              <w:rPr>
                <w:rFonts w:hint="eastAsia"/>
              </w:rPr>
              <w:t>一般情况下，监测范围</w:t>
            </w:r>
            <w:r w:rsidRPr="0088655E">
              <w:rPr>
                <w:rFonts w:hint="eastAsia"/>
              </w:rPr>
              <w:t>可根据井田边界，</w:t>
            </w:r>
            <w:r w:rsidRPr="00F2180A">
              <w:rPr>
                <w:rFonts w:hint="eastAsia"/>
              </w:rPr>
              <w:t>按地表移动边界角减小</w:t>
            </w:r>
            <w:r w:rsidRPr="00F2180A">
              <w:t>10°</w:t>
            </w:r>
            <w:r w:rsidRPr="00F2180A">
              <w:t>确定</w:t>
            </w:r>
          </w:p>
        </w:tc>
        <w:tc>
          <w:tcPr>
            <w:tcW w:w="973" w:type="pct"/>
            <w:vAlign w:val="center"/>
          </w:tcPr>
          <w:p w:rsidR="00EE74C5" w:rsidRPr="0088655E" w:rsidRDefault="00EE74C5" w:rsidP="00902437">
            <w:pPr>
              <w:snapToGrid w:val="0"/>
            </w:pPr>
            <w:r w:rsidRPr="0088655E">
              <w:rPr>
                <w:rFonts w:hint="eastAsia"/>
              </w:rPr>
              <w:t>天地科技股份有限公司申宝宏</w:t>
            </w:r>
          </w:p>
        </w:tc>
        <w:tc>
          <w:tcPr>
            <w:tcW w:w="1002" w:type="pct"/>
            <w:vAlign w:val="center"/>
          </w:tcPr>
          <w:p w:rsidR="00EE74C5" w:rsidRPr="0088655E" w:rsidRDefault="00EE74C5" w:rsidP="00902437">
            <w:pPr>
              <w:snapToGrid w:val="0"/>
            </w:pPr>
            <w:r w:rsidRPr="0088655E">
              <w:rPr>
                <w:rFonts w:hint="eastAsia"/>
              </w:rPr>
              <w:t>未采纳，因为监测范围需要按井田边界确定</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2</w:t>
            </w:r>
            <w:r>
              <w:rPr>
                <w:rFonts w:hint="eastAsia"/>
                <w:color w:val="000000"/>
                <w:szCs w:val="21"/>
              </w:rPr>
              <w:t>5</w:t>
            </w:r>
          </w:p>
        </w:tc>
        <w:tc>
          <w:tcPr>
            <w:tcW w:w="445" w:type="pct"/>
            <w:vAlign w:val="center"/>
          </w:tcPr>
          <w:p w:rsidR="00EE74C5" w:rsidRDefault="00EE74C5" w:rsidP="00902437">
            <w:pPr>
              <w:snapToGrid w:val="0"/>
              <w:rPr>
                <w:color w:val="000000"/>
                <w:szCs w:val="21"/>
              </w:rPr>
            </w:pPr>
            <w:r>
              <w:rPr>
                <w:rFonts w:hint="eastAsia"/>
                <w:color w:val="000000"/>
                <w:szCs w:val="21"/>
              </w:rPr>
              <w:t>6.2.4</w:t>
            </w:r>
          </w:p>
        </w:tc>
        <w:tc>
          <w:tcPr>
            <w:tcW w:w="2325" w:type="pct"/>
            <w:vAlign w:val="center"/>
          </w:tcPr>
          <w:p w:rsidR="00EE74C5" w:rsidRPr="00F2180A" w:rsidRDefault="00EE74C5" w:rsidP="00902437">
            <w:pPr>
              <w:snapToGrid w:val="0"/>
            </w:pPr>
            <w:r>
              <w:rPr>
                <w:rFonts w:hint="eastAsia"/>
              </w:rPr>
              <w:t>增加：对缺少开采资料的采空区也应进行重点监测</w:t>
            </w:r>
            <w:r w:rsidRPr="00F2180A">
              <w:t>。</w:t>
            </w:r>
          </w:p>
        </w:tc>
        <w:tc>
          <w:tcPr>
            <w:tcW w:w="973" w:type="pct"/>
            <w:vAlign w:val="center"/>
          </w:tcPr>
          <w:p w:rsidR="00EE74C5" w:rsidRPr="0088655E" w:rsidRDefault="00EE74C5" w:rsidP="00902437">
            <w:pPr>
              <w:snapToGrid w:val="0"/>
            </w:pPr>
            <w:r>
              <w:rPr>
                <w:rFonts w:hint="eastAsia"/>
              </w:rPr>
              <w:t>大会讨论意见</w:t>
            </w:r>
          </w:p>
        </w:tc>
        <w:tc>
          <w:tcPr>
            <w:tcW w:w="1002" w:type="pct"/>
            <w:vAlign w:val="center"/>
          </w:tcPr>
          <w:p w:rsidR="00EE74C5" w:rsidRPr="0088655E" w:rsidRDefault="00EE74C5" w:rsidP="00902437">
            <w:pPr>
              <w:snapToGrid w:val="0"/>
            </w:pPr>
            <w:r>
              <w:rPr>
                <w:rFonts w:hint="eastAsia"/>
              </w:rPr>
              <w:t>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2</w:t>
            </w:r>
            <w:r>
              <w:rPr>
                <w:rFonts w:hint="eastAsia"/>
                <w:color w:val="000000"/>
                <w:szCs w:val="21"/>
              </w:rPr>
              <w:t>6</w:t>
            </w:r>
          </w:p>
        </w:tc>
        <w:tc>
          <w:tcPr>
            <w:tcW w:w="445" w:type="pct"/>
            <w:vAlign w:val="center"/>
          </w:tcPr>
          <w:p w:rsidR="00EE74C5" w:rsidRPr="008573E7" w:rsidRDefault="00EE74C5" w:rsidP="00902437">
            <w:pPr>
              <w:snapToGrid w:val="0"/>
              <w:rPr>
                <w:color w:val="000000"/>
                <w:szCs w:val="21"/>
              </w:rPr>
            </w:pPr>
            <w:r>
              <w:rPr>
                <w:rFonts w:hint="eastAsia"/>
                <w:color w:val="000000"/>
                <w:szCs w:val="21"/>
              </w:rPr>
              <w:t>6.4.1</w:t>
            </w:r>
            <w:r>
              <w:rPr>
                <w:rFonts w:hint="eastAsia"/>
                <w:color w:val="000000"/>
                <w:szCs w:val="21"/>
              </w:rPr>
              <w:t>、</w:t>
            </w:r>
            <w:r>
              <w:rPr>
                <w:rFonts w:hint="eastAsia"/>
                <w:color w:val="000000"/>
                <w:szCs w:val="21"/>
              </w:rPr>
              <w:t>6.4.1.1</w:t>
            </w:r>
            <w:r>
              <w:rPr>
                <w:rFonts w:hint="eastAsia"/>
                <w:color w:val="000000"/>
                <w:szCs w:val="21"/>
              </w:rPr>
              <w:t>、</w:t>
            </w:r>
            <w:r>
              <w:rPr>
                <w:rFonts w:hint="eastAsia"/>
                <w:color w:val="000000"/>
                <w:szCs w:val="21"/>
              </w:rPr>
              <w:t>6.4.1.2</w:t>
            </w:r>
          </w:p>
        </w:tc>
        <w:tc>
          <w:tcPr>
            <w:tcW w:w="2325" w:type="pct"/>
            <w:vAlign w:val="center"/>
          </w:tcPr>
          <w:p w:rsidR="00EE74C5" w:rsidRPr="0088655E" w:rsidRDefault="00EE74C5" w:rsidP="00902437">
            <w:pPr>
              <w:snapToGrid w:val="0"/>
            </w:pPr>
            <w:r w:rsidRPr="0088655E">
              <w:rPr>
                <w:rFonts w:hint="eastAsia"/>
              </w:rPr>
              <w:t>常规地面沉陷监测改为地面沉陷常规监测</w:t>
            </w:r>
          </w:p>
        </w:tc>
        <w:tc>
          <w:tcPr>
            <w:tcW w:w="973" w:type="pct"/>
            <w:vAlign w:val="center"/>
          </w:tcPr>
          <w:p w:rsidR="00EE74C5" w:rsidRPr="0088655E" w:rsidRDefault="00EE74C5" w:rsidP="00902437">
            <w:pPr>
              <w:snapToGrid w:val="0"/>
            </w:pPr>
            <w:r w:rsidRPr="0088655E">
              <w:rPr>
                <w:rFonts w:hint="eastAsia"/>
              </w:rPr>
              <w:t>天地科技股份有限公司申宝宏</w:t>
            </w:r>
          </w:p>
        </w:tc>
        <w:tc>
          <w:tcPr>
            <w:tcW w:w="1002" w:type="pct"/>
            <w:vAlign w:val="center"/>
          </w:tcPr>
          <w:p w:rsidR="00EE74C5" w:rsidRPr="0088655E" w:rsidRDefault="00EE74C5" w:rsidP="00902437">
            <w:pPr>
              <w:snapToGrid w:val="0"/>
            </w:pPr>
            <w:r w:rsidRPr="0088655E">
              <w:rPr>
                <w:rFonts w:hint="eastAsia"/>
              </w:rPr>
              <w:t>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2</w:t>
            </w:r>
            <w:r>
              <w:rPr>
                <w:rFonts w:hint="eastAsia"/>
                <w:color w:val="000000"/>
                <w:szCs w:val="21"/>
              </w:rPr>
              <w:t>7</w:t>
            </w:r>
          </w:p>
        </w:tc>
        <w:tc>
          <w:tcPr>
            <w:tcW w:w="445" w:type="pct"/>
            <w:vAlign w:val="center"/>
          </w:tcPr>
          <w:p w:rsidR="00EE74C5" w:rsidRDefault="00EE74C5" w:rsidP="00902437">
            <w:pPr>
              <w:snapToGrid w:val="0"/>
              <w:rPr>
                <w:color w:val="000000"/>
                <w:szCs w:val="21"/>
              </w:rPr>
            </w:pPr>
          </w:p>
        </w:tc>
        <w:tc>
          <w:tcPr>
            <w:tcW w:w="2325" w:type="pct"/>
            <w:vAlign w:val="center"/>
          </w:tcPr>
          <w:p w:rsidR="00EE74C5" w:rsidRPr="0088655E" w:rsidRDefault="00EE74C5" w:rsidP="00902437">
            <w:pPr>
              <w:snapToGrid w:val="0"/>
            </w:pPr>
            <w:r w:rsidRPr="0088655E">
              <w:rPr>
                <w:rFonts w:hint="eastAsia"/>
              </w:rPr>
              <w:t>建议增加</w:t>
            </w:r>
            <w:r w:rsidRPr="0088655E">
              <w:rPr>
                <w:rFonts w:hint="eastAsia"/>
              </w:rPr>
              <w:t>6</w:t>
            </w:r>
            <w:r w:rsidRPr="0088655E">
              <w:t>.4.8</w:t>
            </w:r>
            <w:r w:rsidRPr="0088655E">
              <w:rPr>
                <w:rFonts w:hint="eastAsia"/>
              </w:rPr>
              <w:t>采空区及围岩变形监测、</w:t>
            </w:r>
            <w:r w:rsidRPr="0088655E">
              <w:rPr>
                <w:rFonts w:hint="eastAsia"/>
              </w:rPr>
              <w:t>6</w:t>
            </w:r>
            <w:r w:rsidRPr="0088655E">
              <w:t>.4.9</w:t>
            </w:r>
            <w:r w:rsidRPr="0088655E">
              <w:rPr>
                <w:rFonts w:hint="eastAsia"/>
              </w:rPr>
              <w:t>覆岩移动和变形监测</w:t>
            </w:r>
          </w:p>
        </w:tc>
        <w:tc>
          <w:tcPr>
            <w:tcW w:w="973" w:type="pct"/>
            <w:vAlign w:val="center"/>
          </w:tcPr>
          <w:p w:rsidR="00EE74C5" w:rsidRPr="0088655E" w:rsidRDefault="00EE74C5" w:rsidP="00902437">
            <w:pPr>
              <w:snapToGrid w:val="0"/>
            </w:pPr>
            <w:r w:rsidRPr="0088655E">
              <w:rPr>
                <w:rFonts w:hint="eastAsia"/>
              </w:rPr>
              <w:t>煤炭科学研究总院李树志</w:t>
            </w:r>
          </w:p>
        </w:tc>
        <w:tc>
          <w:tcPr>
            <w:tcW w:w="1002" w:type="pct"/>
            <w:vAlign w:val="center"/>
          </w:tcPr>
          <w:p w:rsidR="00EE74C5" w:rsidRPr="0088655E" w:rsidRDefault="00EE74C5" w:rsidP="00902437">
            <w:pPr>
              <w:snapToGrid w:val="0"/>
            </w:pPr>
            <w:r w:rsidRPr="0088655E">
              <w:rPr>
                <w:rFonts w:hint="eastAsia"/>
              </w:rPr>
              <w:t>未采纳，因关闭矿井覆岩移动变形监测的需求少</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Pr>
                <w:rFonts w:hint="eastAsia"/>
                <w:color w:val="000000"/>
                <w:szCs w:val="21"/>
              </w:rPr>
              <w:t>18</w:t>
            </w:r>
          </w:p>
        </w:tc>
        <w:tc>
          <w:tcPr>
            <w:tcW w:w="445" w:type="pct"/>
            <w:vAlign w:val="center"/>
          </w:tcPr>
          <w:p w:rsidR="00EE74C5" w:rsidRPr="008573E7" w:rsidRDefault="00EE74C5" w:rsidP="00902437">
            <w:pPr>
              <w:snapToGrid w:val="0"/>
              <w:rPr>
                <w:color w:val="000000"/>
                <w:szCs w:val="21"/>
              </w:rPr>
            </w:pPr>
            <w:r>
              <w:rPr>
                <w:rFonts w:hint="eastAsia"/>
                <w:color w:val="000000"/>
                <w:szCs w:val="21"/>
              </w:rPr>
              <w:t>6.5.1.1</w:t>
            </w:r>
            <w:r>
              <w:rPr>
                <w:rFonts w:hint="eastAsia"/>
                <w:color w:val="000000"/>
                <w:szCs w:val="21"/>
              </w:rPr>
              <w:t>、</w:t>
            </w:r>
            <w:r>
              <w:rPr>
                <w:rFonts w:hint="eastAsia"/>
                <w:color w:val="000000"/>
                <w:szCs w:val="21"/>
              </w:rPr>
              <w:t>6.5.1.</w:t>
            </w:r>
            <w:r>
              <w:rPr>
                <w:rFonts w:hint="eastAsia"/>
                <w:color w:val="000000"/>
                <w:szCs w:val="21"/>
              </w:rPr>
              <w:lastRenderedPageBreak/>
              <w:t>2</w:t>
            </w:r>
          </w:p>
        </w:tc>
        <w:tc>
          <w:tcPr>
            <w:tcW w:w="2325" w:type="pct"/>
            <w:vAlign w:val="center"/>
          </w:tcPr>
          <w:p w:rsidR="00EE74C5" w:rsidRPr="0088655E" w:rsidRDefault="00EE74C5" w:rsidP="00902437">
            <w:pPr>
              <w:snapToGrid w:val="0"/>
            </w:pPr>
            <w:r w:rsidRPr="0088655E">
              <w:rPr>
                <w:rFonts w:hint="eastAsia"/>
              </w:rPr>
              <w:lastRenderedPageBreak/>
              <w:t>认为为常规规定，是否可去掉</w:t>
            </w:r>
          </w:p>
        </w:tc>
        <w:tc>
          <w:tcPr>
            <w:tcW w:w="973" w:type="pct"/>
            <w:vAlign w:val="center"/>
          </w:tcPr>
          <w:p w:rsidR="00EE74C5" w:rsidRPr="0088655E" w:rsidRDefault="00EE74C5" w:rsidP="00902437">
            <w:pPr>
              <w:snapToGrid w:val="0"/>
            </w:pPr>
            <w:r w:rsidRPr="0088655E">
              <w:rPr>
                <w:rFonts w:hint="eastAsia"/>
              </w:rPr>
              <w:t>河南理工大学郭文兵</w:t>
            </w:r>
          </w:p>
        </w:tc>
        <w:tc>
          <w:tcPr>
            <w:tcW w:w="1002" w:type="pct"/>
            <w:vAlign w:val="center"/>
          </w:tcPr>
          <w:p w:rsidR="00EE74C5" w:rsidRPr="0088655E" w:rsidRDefault="00EE74C5" w:rsidP="00902437">
            <w:pPr>
              <w:snapToGrid w:val="0"/>
            </w:pPr>
            <w:r w:rsidRPr="0088655E">
              <w:rPr>
                <w:rFonts w:hint="eastAsia"/>
              </w:rPr>
              <w:t>未采纳，认为应强调监测设备的要求</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Pr>
                <w:rFonts w:hint="eastAsia"/>
                <w:color w:val="000000"/>
                <w:szCs w:val="21"/>
              </w:rPr>
              <w:lastRenderedPageBreak/>
              <w:t>29</w:t>
            </w:r>
          </w:p>
        </w:tc>
        <w:tc>
          <w:tcPr>
            <w:tcW w:w="445" w:type="pct"/>
            <w:vAlign w:val="center"/>
          </w:tcPr>
          <w:p w:rsidR="00EE74C5" w:rsidRPr="008573E7" w:rsidRDefault="00EE74C5" w:rsidP="00902437">
            <w:pPr>
              <w:snapToGrid w:val="0"/>
              <w:rPr>
                <w:color w:val="000000"/>
                <w:szCs w:val="21"/>
              </w:rPr>
            </w:pPr>
            <w:r>
              <w:rPr>
                <w:rFonts w:hint="eastAsia"/>
                <w:color w:val="000000"/>
                <w:szCs w:val="21"/>
              </w:rPr>
              <w:t>全文</w:t>
            </w:r>
          </w:p>
        </w:tc>
        <w:tc>
          <w:tcPr>
            <w:tcW w:w="2325" w:type="pct"/>
            <w:vAlign w:val="center"/>
          </w:tcPr>
          <w:p w:rsidR="00EE74C5" w:rsidRPr="0088655E" w:rsidRDefault="00EE74C5" w:rsidP="00902437">
            <w:pPr>
              <w:snapToGrid w:val="0"/>
            </w:pPr>
            <w:r w:rsidRPr="0088655E">
              <w:rPr>
                <w:rFonts w:hint="eastAsia"/>
              </w:rPr>
              <w:t>冒落带改为垮落带</w:t>
            </w:r>
          </w:p>
        </w:tc>
        <w:tc>
          <w:tcPr>
            <w:tcW w:w="973" w:type="pct"/>
            <w:vAlign w:val="center"/>
          </w:tcPr>
          <w:p w:rsidR="00EE74C5" w:rsidRPr="0088655E" w:rsidRDefault="00EE74C5" w:rsidP="00902437">
            <w:pPr>
              <w:snapToGrid w:val="0"/>
            </w:pPr>
            <w:r w:rsidRPr="0088655E">
              <w:rPr>
                <w:rFonts w:hint="eastAsia"/>
              </w:rPr>
              <w:t>天地科技股份有限公司申宝宏</w:t>
            </w:r>
          </w:p>
        </w:tc>
        <w:tc>
          <w:tcPr>
            <w:tcW w:w="1002" w:type="pct"/>
            <w:vAlign w:val="center"/>
          </w:tcPr>
          <w:p w:rsidR="00EE74C5" w:rsidRPr="0088655E" w:rsidRDefault="00EE74C5" w:rsidP="00902437">
            <w:pPr>
              <w:snapToGrid w:val="0"/>
            </w:pPr>
            <w:r w:rsidRPr="0088655E">
              <w:rPr>
                <w:rFonts w:hint="eastAsia"/>
              </w:rPr>
              <w:t>采纳</w:t>
            </w:r>
          </w:p>
        </w:tc>
      </w:tr>
      <w:tr w:rsidR="00EE74C5" w:rsidRPr="008573E7" w:rsidTr="00902437">
        <w:trPr>
          <w:jc w:val="center"/>
        </w:trPr>
        <w:tc>
          <w:tcPr>
            <w:tcW w:w="255" w:type="pct"/>
            <w:vAlign w:val="center"/>
          </w:tcPr>
          <w:p w:rsidR="00EE74C5" w:rsidRPr="008573E7" w:rsidRDefault="00EE74C5" w:rsidP="00902437">
            <w:pPr>
              <w:snapToGrid w:val="0"/>
              <w:rPr>
                <w:color w:val="000000"/>
                <w:szCs w:val="21"/>
              </w:rPr>
            </w:pPr>
            <w:r w:rsidRPr="008573E7">
              <w:rPr>
                <w:rFonts w:hint="eastAsia"/>
                <w:color w:val="000000"/>
                <w:szCs w:val="21"/>
              </w:rPr>
              <w:t>3</w:t>
            </w:r>
            <w:r>
              <w:rPr>
                <w:rFonts w:hint="eastAsia"/>
                <w:color w:val="000000"/>
                <w:szCs w:val="21"/>
              </w:rPr>
              <w:t>0</w:t>
            </w:r>
          </w:p>
        </w:tc>
        <w:tc>
          <w:tcPr>
            <w:tcW w:w="445" w:type="pct"/>
            <w:vAlign w:val="center"/>
          </w:tcPr>
          <w:p w:rsidR="00EE74C5" w:rsidRPr="008573E7" w:rsidRDefault="00EE74C5" w:rsidP="00902437">
            <w:pPr>
              <w:snapToGrid w:val="0"/>
              <w:rPr>
                <w:color w:val="000000"/>
                <w:szCs w:val="21"/>
              </w:rPr>
            </w:pPr>
            <w:r w:rsidRPr="00B0381D">
              <w:rPr>
                <w:rFonts w:hint="eastAsia"/>
              </w:rPr>
              <w:t>表</w:t>
            </w:r>
            <w:r w:rsidRPr="00B0381D">
              <w:rPr>
                <w:rFonts w:hint="eastAsia"/>
              </w:rPr>
              <w:t>8-1</w:t>
            </w:r>
          </w:p>
        </w:tc>
        <w:tc>
          <w:tcPr>
            <w:tcW w:w="2325" w:type="pct"/>
            <w:vAlign w:val="center"/>
          </w:tcPr>
          <w:p w:rsidR="00EE74C5" w:rsidRPr="008573E7" w:rsidRDefault="00EE74C5" w:rsidP="00902437">
            <w:pPr>
              <w:snapToGrid w:val="0"/>
              <w:rPr>
                <w:rFonts w:ascii="宋体" w:hAnsi="宋体"/>
                <w:color w:val="000000"/>
                <w:szCs w:val="21"/>
              </w:rPr>
            </w:pPr>
            <w:r w:rsidRPr="0088655E">
              <w:rPr>
                <w:rFonts w:hint="eastAsia"/>
                <w:color w:val="000000"/>
                <w:szCs w:val="21"/>
              </w:rPr>
              <w:t>严格意义上，关闭矿井地表变形主要以隆起抬升破坏为主，这种条件下地表变形设防标准应更高（建筑物抗抬升变形能力更差</w:t>
            </w:r>
          </w:p>
        </w:tc>
        <w:tc>
          <w:tcPr>
            <w:tcW w:w="973" w:type="pct"/>
            <w:vAlign w:val="center"/>
          </w:tcPr>
          <w:p w:rsidR="00EE74C5" w:rsidRPr="0088655E" w:rsidRDefault="00EE74C5" w:rsidP="00902437">
            <w:pPr>
              <w:snapToGrid w:val="0"/>
              <w:rPr>
                <w:color w:val="000000"/>
                <w:szCs w:val="21"/>
              </w:rPr>
            </w:pPr>
            <w:r>
              <w:rPr>
                <w:rFonts w:hint="eastAsia"/>
                <w:color w:val="000000"/>
                <w:szCs w:val="21"/>
              </w:rPr>
              <w:t>安徽理工大学余学祥</w:t>
            </w:r>
          </w:p>
        </w:tc>
        <w:tc>
          <w:tcPr>
            <w:tcW w:w="1002" w:type="pct"/>
            <w:vAlign w:val="center"/>
          </w:tcPr>
          <w:p w:rsidR="00EE74C5" w:rsidRPr="008573E7" w:rsidRDefault="00EE74C5" w:rsidP="00902437">
            <w:pPr>
              <w:snapToGrid w:val="0"/>
              <w:rPr>
                <w:color w:val="000000"/>
                <w:szCs w:val="21"/>
              </w:rPr>
            </w:pPr>
            <w:r>
              <w:rPr>
                <w:rFonts w:hint="eastAsia"/>
                <w:color w:val="000000"/>
                <w:szCs w:val="21"/>
              </w:rPr>
              <w:t>未采纳，因为目前尚未有上升变形对建构筑物的影响评价指标</w:t>
            </w:r>
          </w:p>
        </w:tc>
      </w:tr>
    </w:tbl>
    <w:p w:rsidR="00EE74C5" w:rsidRDefault="00EE74C5" w:rsidP="00EE74C5">
      <w:pPr>
        <w:rPr>
          <w:color w:val="000000"/>
        </w:rPr>
      </w:pPr>
    </w:p>
    <w:p w:rsidR="00EE74C5" w:rsidRPr="008573E7" w:rsidRDefault="00EE74C5" w:rsidP="00EE74C5">
      <w:pPr>
        <w:rPr>
          <w:color w:val="000000"/>
        </w:rPr>
      </w:pPr>
      <w:r w:rsidRPr="008573E7">
        <w:rPr>
          <w:rFonts w:hint="eastAsia"/>
          <w:color w:val="000000"/>
        </w:rPr>
        <w:t>说明：</w:t>
      </w:r>
      <w:r w:rsidRPr="008573E7">
        <w:rPr>
          <w:rFonts w:hint="eastAsia"/>
          <w:color w:val="000000"/>
        </w:rPr>
        <w:t>1</w:t>
      </w:r>
      <w:r w:rsidRPr="008573E7">
        <w:rPr>
          <w:rFonts w:hint="eastAsia"/>
          <w:color w:val="000000"/>
        </w:rPr>
        <w:t>、</w:t>
      </w:r>
      <w:r>
        <w:rPr>
          <w:rFonts w:hint="eastAsia"/>
          <w:color w:val="000000"/>
        </w:rPr>
        <w:t>提出意见数量：</w:t>
      </w:r>
      <w:r>
        <w:rPr>
          <w:rFonts w:hint="eastAsia"/>
          <w:color w:val="000000"/>
        </w:rPr>
        <w:t>30</w:t>
      </w:r>
      <w:r>
        <w:rPr>
          <w:rFonts w:hint="eastAsia"/>
          <w:color w:val="000000"/>
        </w:rPr>
        <w:t>个</w:t>
      </w:r>
      <w:r w:rsidRPr="008573E7">
        <w:rPr>
          <w:rFonts w:hint="eastAsia"/>
          <w:color w:val="000000"/>
        </w:rPr>
        <w:t>；</w:t>
      </w:r>
    </w:p>
    <w:p w:rsidR="00EE74C5" w:rsidRPr="008573E7" w:rsidRDefault="00EE74C5" w:rsidP="00EE74C5">
      <w:pPr>
        <w:ind w:firstLineChars="300" w:firstLine="630"/>
        <w:outlineLvl w:val="0"/>
        <w:rPr>
          <w:color w:val="000000"/>
        </w:rPr>
      </w:pPr>
      <w:r w:rsidRPr="008573E7">
        <w:rPr>
          <w:rFonts w:hint="eastAsia"/>
          <w:color w:val="000000"/>
        </w:rPr>
        <w:t>2</w:t>
      </w:r>
      <w:r w:rsidRPr="008573E7">
        <w:rPr>
          <w:rFonts w:hint="eastAsia"/>
          <w:color w:val="000000"/>
        </w:rPr>
        <w:t>、标准起草单位或工作组对意见处理结果：采纳</w:t>
      </w:r>
      <w:r>
        <w:rPr>
          <w:rFonts w:hint="eastAsia"/>
          <w:color w:val="000000"/>
        </w:rPr>
        <w:t>16</w:t>
      </w:r>
      <w:r>
        <w:rPr>
          <w:rFonts w:hint="eastAsia"/>
          <w:color w:val="000000"/>
        </w:rPr>
        <w:t>个</w:t>
      </w:r>
      <w:r w:rsidRPr="008573E7">
        <w:rPr>
          <w:rFonts w:hint="eastAsia"/>
          <w:color w:val="000000"/>
        </w:rPr>
        <w:t>，未采纳</w:t>
      </w:r>
      <w:r>
        <w:rPr>
          <w:rFonts w:hint="eastAsia"/>
          <w:color w:val="000000"/>
        </w:rPr>
        <w:t>14</w:t>
      </w:r>
      <w:r>
        <w:rPr>
          <w:rFonts w:hint="eastAsia"/>
          <w:color w:val="000000"/>
        </w:rPr>
        <w:t>个</w:t>
      </w:r>
      <w:r w:rsidRPr="008573E7">
        <w:rPr>
          <w:rFonts w:hint="eastAsia"/>
          <w:color w:val="000000"/>
        </w:rPr>
        <w:t>；</w:t>
      </w:r>
    </w:p>
    <w:p w:rsidR="00EE74C5" w:rsidRPr="008573E7" w:rsidRDefault="00EE74C5" w:rsidP="00EE74C5">
      <w:pPr>
        <w:ind w:firstLineChars="300" w:firstLine="630"/>
        <w:jc w:val="left"/>
        <w:rPr>
          <w:color w:val="000000"/>
        </w:rPr>
      </w:pPr>
      <w:r w:rsidRPr="008573E7">
        <w:rPr>
          <w:rFonts w:hint="eastAsia"/>
          <w:color w:val="000000"/>
        </w:rPr>
        <w:t>3</w:t>
      </w:r>
      <w:r w:rsidRPr="008573E7">
        <w:rPr>
          <w:rFonts w:hint="eastAsia"/>
          <w:color w:val="000000"/>
        </w:rPr>
        <w:t>、标准化技术委员会或标准化技术归口单位审查意见：采纳</w:t>
      </w:r>
      <w:r>
        <w:rPr>
          <w:rFonts w:hint="eastAsia"/>
          <w:color w:val="000000"/>
        </w:rPr>
        <w:t>个</w:t>
      </w:r>
      <w:r w:rsidRPr="008573E7">
        <w:rPr>
          <w:rFonts w:hint="eastAsia"/>
          <w:color w:val="000000"/>
        </w:rPr>
        <w:t>，未采纳</w:t>
      </w:r>
      <w:r>
        <w:rPr>
          <w:rFonts w:hint="eastAsia"/>
          <w:color w:val="000000"/>
        </w:rPr>
        <w:t>个</w:t>
      </w:r>
      <w:r w:rsidRPr="008573E7">
        <w:rPr>
          <w:rFonts w:hint="eastAsia"/>
          <w:color w:val="000000"/>
        </w:rPr>
        <w:t>。</w:t>
      </w:r>
    </w:p>
    <w:p w:rsidR="00D67DB0" w:rsidRPr="00EE74C5" w:rsidRDefault="00D67DB0"/>
    <w:p w:rsidR="004830A4" w:rsidRPr="004830A4" w:rsidRDefault="004830A4"/>
    <w:sectPr w:rsidR="004830A4" w:rsidRPr="004830A4" w:rsidSect="008B6E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DA8" w:rsidRDefault="00002DA8" w:rsidP="00C62053">
      <w:r>
        <w:separator/>
      </w:r>
    </w:p>
  </w:endnote>
  <w:endnote w:type="continuationSeparator" w:id="1">
    <w:p w:rsidR="00002DA8" w:rsidRDefault="00002DA8" w:rsidP="00C620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DA8" w:rsidRDefault="00002DA8" w:rsidP="00C62053">
      <w:r>
        <w:separator/>
      </w:r>
    </w:p>
  </w:footnote>
  <w:footnote w:type="continuationSeparator" w:id="1">
    <w:p w:rsidR="00002DA8" w:rsidRDefault="00002DA8" w:rsidP="00C6205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946690"/>
    <w:multiLevelType w:val="hybridMultilevel"/>
    <w:tmpl w:val="C7628586"/>
    <w:lvl w:ilvl="0" w:tplc="84A8AF1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830A4"/>
    <w:rsid w:val="00002DA8"/>
    <w:rsid w:val="00035AD3"/>
    <w:rsid w:val="000A2BB8"/>
    <w:rsid w:val="000D312B"/>
    <w:rsid w:val="000E31B9"/>
    <w:rsid w:val="00142735"/>
    <w:rsid w:val="002948D4"/>
    <w:rsid w:val="002D157C"/>
    <w:rsid w:val="003120F4"/>
    <w:rsid w:val="003A007B"/>
    <w:rsid w:val="003F2FEA"/>
    <w:rsid w:val="00407947"/>
    <w:rsid w:val="00417EFC"/>
    <w:rsid w:val="004830A4"/>
    <w:rsid w:val="004B1DE8"/>
    <w:rsid w:val="00540ECF"/>
    <w:rsid w:val="005A05B7"/>
    <w:rsid w:val="0066515F"/>
    <w:rsid w:val="007A644A"/>
    <w:rsid w:val="007C5DF2"/>
    <w:rsid w:val="0084620C"/>
    <w:rsid w:val="008B2E33"/>
    <w:rsid w:val="008B6EDA"/>
    <w:rsid w:val="008E02DC"/>
    <w:rsid w:val="00953308"/>
    <w:rsid w:val="009846DB"/>
    <w:rsid w:val="00A02767"/>
    <w:rsid w:val="00A054CB"/>
    <w:rsid w:val="00A924B3"/>
    <w:rsid w:val="00AB5B36"/>
    <w:rsid w:val="00AE11D3"/>
    <w:rsid w:val="00B172E9"/>
    <w:rsid w:val="00BD7BF7"/>
    <w:rsid w:val="00C26EB3"/>
    <w:rsid w:val="00C62053"/>
    <w:rsid w:val="00C6369C"/>
    <w:rsid w:val="00D00349"/>
    <w:rsid w:val="00D243C4"/>
    <w:rsid w:val="00D67DB0"/>
    <w:rsid w:val="00D7466A"/>
    <w:rsid w:val="00DD21EC"/>
    <w:rsid w:val="00E3755F"/>
    <w:rsid w:val="00EB1E4E"/>
    <w:rsid w:val="00EE4A58"/>
    <w:rsid w:val="00EE74C5"/>
    <w:rsid w:val="00F61C0B"/>
    <w:rsid w:val="00F74C7E"/>
    <w:rsid w:val="00F96DA4"/>
    <w:rsid w:val="00FB61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E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830A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Char"/>
    <w:uiPriority w:val="99"/>
    <w:unhideWhenUsed/>
    <w:rsid w:val="00C620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62053"/>
    <w:rPr>
      <w:sz w:val="18"/>
      <w:szCs w:val="18"/>
    </w:rPr>
  </w:style>
  <w:style w:type="paragraph" w:styleId="a5">
    <w:name w:val="footer"/>
    <w:basedOn w:val="a"/>
    <w:link w:val="Char0"/>
    <w:uiPriority w:val="99"/>
    <w:unhideWhenUsed/>
    <w:rsid w:val="00C62053"/>
    <w:pPr>
      <w:tabs>
        <w:tab w:val="center" w:pos="4153"/>
        <w:tab w:val="right" w:pos="8306"/>
      </w:tabs>
      <w:snapToGrid w:val="0"/>
      <w:jc w:val="left"/>
    </w:pPr>
    <w:rPr>
      <w:sz w:val="18"/>
      <w:szCs w:val="18"/>
    </w:rPr>
  </w:style>
  <w:style w:type="character" w:customStyle="1" w:styleId="Char0">
    <w:name w:val="页脚 Char"/>
    <w:basedOn w:val="a0"/>
    <w:link w:val="a5"/>
    <w:uiPriority w:val="99"/>
    <w:rsid w:val="00C62053"/>
    <w:rPr>
      <w:sz w:val="18"/>
      <w:szCs w:val="18"/>
    </w:rPr>
  </w:style>
</w:styles>
</file>

<file path=word/webSettings.xml><?xml version="1.0" encoding="utf-8"?>
<w:webSettings xmlns:r="http://schemas.openxmlformats.org/officeDocument/2006/relationships" xmlns:w="http://schemas.openxmlformats.org/wordprocessingml/2006/main">
  <w:divs>
    <w:div w:id="256981697">
      <w:bodyDiv w:val="1"/>
      <w:marLeft w:val="0"/>
      <w:marRight w:val="0"/>
      <w:marTop w:val="0"/>
      <w:marBottom w:val="0"/>
      <w:divBdr>
        <w:top w:val="none" w:sz="0" w:space="0" w:color="auto"/>
        <w:left w:val="none" w:sz="0" w:space="0" w:color="auto"/>
        <w:bottom w:val="none" w:sz="0" w:space="0" w:color="auto"/>
        <w:right w:val="none" w:sz="0" w:space="0" w:color="auto"/>
      </w:divBdr>
    </w:div>
    <w:div w:id="799422091">
      <w:bodyDiv w:val="1"/>
      <w:marLeft w:val="0"/>
      <w:marRight w:val="0"/>
      <w:marTop w:val="0"/>
      <w:marBottom w:val="0"/>
      <w:divBdr>
        <w:top w:val="none" w:sz="0" w:space="0" w:color="auto"/>
        <w:left w:val="none" w:sz="0" w:space="0" w:color="auto"/>
        <w:bottom w:val="none" w:sz="0" w:space="0" w:color="auto"/>
        <w:right w:val="none" w:sz="0" w:space="0" w:color="auto"/>
      </w:divBdr>
    </w:div>
    <w:div w:id="1113328070">
      <w:bodyDiv w:val="1"/>
      <w:marLeft w:val="0"/>
      <w:marRight w:val="0"/>
      <w:marTop w:val="0"/>
      <w:marBottom w:val="0"/>
      <w:divBdr>
        <w:top w:val="none" w:sz="0" w:space="0" w:color="auto"/>
        <w:left w:val="none" w:sz="0" w:space="0" w:color="auto"/>
        <w:bottom w:val="none" w:sz="0" w:space="0" w:color="auto"/>
        <w:right w:val="none" w:sz="0" w:space="0" w:color="auto"/>
      </w:divBdr>
    </w:div>
    <w:div w:id="1183596268">
      <w:bodyDiv w:val="1"/>
      <w:marLeft w:val="0"/>
      <w:marRight w:val="0"/>
      <w:marTop w:val="0"/>
      <w:marBottom w:val="0"/>
      <w:divBdr>
        <w:top w:val="none" w:sz="0" w:space="0" w:color="auto"/>
        <w:left w:val="none" w:sz="0" w:space="0" w:color="auto"/>
        <w:bottom w:val="none" w:sz="0" w:space="0" w:color="auto"/>
        <w:right w:val="none" w:sz="0" w:space="0" w:color="auto"/>
      </w:divBdr>
    </w:div>
    <w:div w:id="1424641084">
      <w:bodyDiv w:val="1"/>
      <w:marLeft w:val="0"/>
      <w:marRight w:val="0"/>
      <w:marTop w:val="0"/>
      <w:marBottom w:val="0"/>
      <w:divBdr>
        <w:top w:val="none" w:sz="0" w:space="0" w:color="auto"/>
        <w:left w:val="none" w:sz="0" w:space="0" w:color="auto"/>
        <w:bottom w:val="none" w:sz="0" w:space="0" w:color="auto"/>
        <w:right w:val="none" w:sz="0" w:space="0" w:color="auto"/>
      </w:divBdr>
    </w:div>
    <w:div w:id="1559051724">
      <w:bodyDiv w:val="1"/>
      <w:marLeft w:val="0"/>
      <w:marRight w:val="0"/>
      <w:marTop w:val="0"/>
      <w:marBottom w:val="0"/>
      <w:divBdr>
        <w:top w:val="none" w:sz="0" w:space="0" w:color="auto"/>
        <w:left w:val="none" w:sz="0" w:space="0" w:color="auto"/>
        <w:bottom w:val="none" w:sz="0" w:space="0" w:color="auto"/>
        <w:right w:val="none" w:sz="0" w:space="0" w:color="auto"/>
      </w:divBdr>
    </w:div>
    <w:div w:id="1750931503">
      <w:bodyDiv w:val="1"/>
      <w:marLeft w:val="0"/>
      <w:marRight w:val="0"/>
      <w:marTop w:val="0"/>
      <w:marBottom w:val="0"/>
      <w:divBdr>
        <w:top w:val="none" w:sz="0" w:space="0" w:color="auto"/>
        <w:left w:val="none" w:sz="0" w:space="0" w:color="auto"/>
        <w:bottom w:val="none" w:sz="0" w:space="0" w:color="auto"/>
        <w:right w:val="none" w:sz="0" w:space="0" w:color="auto"/>
      </w:divBdr>
    </w:div>
    <w:div w:id="1764764772">
      <w:bodyDiv w:val="1"/>
      <w:marLeft w:val="0"/>
      <w:marRight w:val="0"/>
      <w:marTop w:val="0"/>
      <w:marBottom w:val="0"/>
      <w:divBdr>
        <w:top w:val="none" w:sz="0" w:space="0" w:color="auto"/>
        <w:left w:val="none" w:sz="0" w:space="0" w:color="auto"/>
        <w:bottom w:val="none" w:sz="0" w:space="0" w:color="auto"/>
        <w:right w:val="none" w:sz="0" w:space="0" w:color="auto"/>
      </w:divBdr>
    </w:div>
    <w:div w:id="1822959624">
      <w:bodyDiv w:val="1"/>
      <w:marLeft w:val="0"/>
      <w:marRight w:val="0"/>
      <w:marTop w:val="0"/>
      <w:marBottom w:val="0"/>
      <w:divBdr>
        <w:top w:val="none" w:sz="0" w:space="0" w:color="auto"/>
        <w:left w:val="none" w:sz="0" w:space="0" w:color="auto"/>
        <w:bottom w:val="none" w:sz="0" w:space="0" w:color="auto"/>
        <w:right w:val="none" w:sz="0" w:space="0" w:color="auto"/>
      </w:divBdr>
    </w:div>
    <w:div w:id="2050914360">
      <w:bodyDiv w:val="1"/>
      <w:marLeft w:val="0"/>
      <w:marRight w:val="0"/>
      <w:marTop w:val="0"/>
      <w:marBottom w:val="0"/>
      <w:divBdr>
        <w:top w:val="none" w:sz="0" w:space="0" w:color="auto"/>
        <w:left w:val="none" w:sz="0" w:space="0" w:color="auto"/>
        <w:bottom w:val="none" w:sz="0" w:space="0" w:color="auto"/>
        <w:right w:val="none" w:sz="0" w:space="0" w:color="auto"/>
      </w:divBdr>
    </w:div>
    <w:div w:id="2098212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iliao.co188.com/p63308069.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863</Words>
  <Characters>4924</Characters>
  <Application>Microsoft Office Word</Application>
  <DocSecurity>0</DocSecurity>
  <Lines>41</Lines>
  <Paragraphs>11</Paragraphs>
  <ScaleCrop>false</ScaleCrop>
  <Company/>
  <LinksUpToDate>false</LinksUpToDate>
  <CharactersWithSpaces>5776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DWN</cp:lastModifiedBy>
  <cp:revision>2</cp:revision>
  <dcterms:created xsi:type="dcterms:W3CDTF">2024-05-31T04:11:00Z</dcterms:created>
  <dcterms:modified xsi:type="dcterms:W3CDTF">2024-05-31T04:11:00Z</dcterms:modified>
</cp:coreProperties>
</file>