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AF7F51">
      <w:pPr>
        <w:pStyle w:val="73"/>
        <w:bidi w:val="0"/>
        <w:jc w:val="both"/>
        <w:rPr>
          <w:rFonts w:hint="eastAsia"/>
          <w:sz w:val="36"/>
          <w:szCs w:val="36"/>
        </w:rPr>
      </w:pPr>
    </w:p>
    <w:p w14:paraId="02694C18">
      <w:pPr>
        <w:pStyle w:val="73"/>
        <w:bidi w:val="0"/>
        <w:jc w:val="both"/>
        <w:rPr>
          <w:rFonts w:hint="eastAsia"/>
          <w:sz w:val="36"/>
          <w:szCs w:val="36"/>
        </w:rPr>
      </w:pPr>
    </w:p>
    <w:p w14:paraId="33A4235A">
      <w:pPr>
        <w:pStyle w:val="73"/>
        <w:bidi w:val="0"/>
        <w:jc w:val="both"/>
        <w:rPr>
          <w:rFonts w:hint="eastAsia"/>
          <w:sz w:val="36"/>
          <w:szCs w:val="36"/>
        </w:rPr>
      </w:pPr>
    </w:p>
    <w:p w14:paraId="528A73C3">
      <w:pPr>
        <w:pStyle w:val="73"/>
        <w:bidi w:val="0"/>
        <w:jc w:val="both"/>
        <w:rPr>
          <w:rFonts w:hint="eastAsia"/>
          <w:sz w:val="36"/>
          <w:szCs w:val="36"/>
        </w:rPr>
      </w:pPr>
    </w:p>
    <w:p w14:paraId="78857001">
      <w:pPr>
        <w:pStyle w:val="73"/>
        <w:bidi w:val="0"/>
        <w:jc w:val="both"/>
        <w:rPr>
          <w:rFonts w:hint="eastAsia"/>
          <w:sz w:val="36"/>
          <w:szCs w:val="36"/>
        </w:rPr>
      </w:pPr>
    </w:p>
    <w:p w14:paraId="03FCCD19">
      <w:pPr>
        <w:pStyle w:val="73"/>
        <w:bidi w:val="0"/>
        <w:jc w:val="center"/>
        <w:rPr>
          <w:rFonts w:hint="eastAsia"/>
          <w:sz w:val="44"/>
          <w:szCs w:val="44"/>
        </w:rPr>
      </w:pPr>
      <w:r>
        <w:rPr>
          <w:rFonts w:hint="eastAsia"/>
          <w:sz w:val="44"/>
          <w:szCs w:val="44"/>
        </w:rPr>
        <w:t>《</w:t>
      </w:r>
      <w:r>
        <w:rPr>
          <w:rFonts w:hint="eastAsia"/>
          <w:sz w:val="44"/>
          <w:szCs w:val="44"/>
          <w:lang w:val="en-US" w:eastAsia="zh-CN"/>
        </w:rPr>
        <w:t>煤矿井下充电换能站用动力电池技术规范</w:t>
      </w:r>
      <w:r>
        <w:rPr>
          <w:rFonts w:hint="eastAsia"/>
          <w:sz w:val="44"/>
          <w:szCs w:val="44"/>
        </w:rPr>
        <w:t>》</w:t>
      </w:r>
    </w:p>
    <w:p w14:paraId="7A0A5943">
      <w:pPr>
        <w:pStyle w:val="73"/>
        <w:bidi w:val="0"/>
        <w:jc w:val="center"/>
        <w:rPr>
          <w:rFonts w:hint="eastAsia"/>
          <w:sz w:val="44"/>
          <w:szCs w:val="44"/>
        </w:rPr>
      </w:pPr>
    </w:p>
    <w:p w14:paraId="39057014">
      <w:pPr>
        <w:pStyle w:val="73"/>
        <w:bidi w:val="0"/>
        <w:jc w:val="center"/>
        <w:rPr>
          <w:rFonts w:hint="eastAsia"/>
          <w:sz w:val="44"/>
          <w:szCs w:val="44"/>
        </w:rPr>
      </w:pPr>
      <w:r>
        <w:rPr>
          <w:rFonts w:hint="eastAsia"/>
          <w:sz w:val="44"/>
          <w:szCs w:val="44"/>
        </w:rPr>
        <w:t>编 制 说 明</w:t>
      </w:r>
    </w:p>
    <w:p w14:paraId="7A8AADB1">
      <w:pPr>
        <w:pStyle w:val="73"/>
        <w:bidi w:val="0"/>
        <w:jc w:val="center"/>
        <w:rPr>
          <w:rFonts w:hint="eastAsia"/>
          <w:sz w:val="28"/>
          <w:szCs w:val="28"/>
        </w:rPr>
      </w:pPr>
    </w:p>
    <w:p w14:paraId="17D06C80">
      <w:pPr>
        <w:pStyle w:val="73"/>
        <w:bidi w:val="0"/>
        <w:jc w:val="center"/>
        <w:rPr>
          <w:rFonts w:hint="eastAsia"/>
          <w:sz w:val="30"/>
          <w:szCs w:val="30"/>
        </w:rPr>
      </w:pPr>
      <w:r>
        <w:rPr>
          <w:rFonts w:hint="eastAsia"/>
          <w:sz w:val="30"/>
          <w:szCs w:val="30"/>
        </w:rPr>
        <w:t>（征求意见稿）</w:t>
      </w:r>
    </w:p>
    <w:p w14:paraId="495C2D5D">
      <w:pPr>
        <w:pStyle w:val="73"/>
        <w:bidi w:val="0"/>
        <w:rPr>
          <w:rFonts w:hint="eastAsia"/>
          <w:sz w:val="28"/>
          <w:szCs w:val="28"/>
        </w:rPr>
      </w:pPr>
    </w:p>
    <w:p w14:paraId="32DB6C96">
      <w:pPr>
        <w:pStyle w:val="73"/>
        <w:bidi w:val="0"/>
        <w:rPr>
          <w:rFonts w:hint="eastAsia"/>
          <w:sz w:val="28"/>
          <w:szCs w:val="28"/>
        </w:rPr>
      </w:pPr>
    </w:p>
    <w:p w14:paraId="56C97FDF">
      <w:pPr>
        <w:pStyle w:val="73"/>
        <w:bidi w:val="0"/>
        <w:rPr>
          <w:rFonts w:hint="eastAsia"/>
          <w:sz w:val="28"/>
          <w:szCs w:val="28"/>
        </w:rPr>
      </w:pPr>
    </w:p>
    <w:p w14:paraId="26F62897">
      <w:pPr>
        <w:pStyle w:val="73"/>
        <w:bidi w:val="0"/>
        <w:rPr>
          <w:rFonts w:hint="eastAsia"/>
          <w:sz w:val="28"/>
          <w:szCs w:val="28"/>
        </w:rPr>
      </w:pPr>
    </w:p>
    <w:p w14:paraId="087DD467">
      <w:pPr>
        <w:pStyle w:val="73"/>
        <w:bidi w:val="0"/>
        <w:rPr>
          <w:rFonts w:hint="eastAsia"/>
          <w:sz w:val="28"/>
          <w:szCs w:val="28"/>
        </w:rPr>
      </w:pPr>
    </w:p>
    <w:p w14:paraId="045BA5D9">
      <w:pPr>
        <w:pStyle w:val="73"/>
        <w:bidi w:val="0"/>
        <w:rPr>
          <w:rFonts w:hint="eastAsia"/>
          <w:sz w:val="28"/>
          <w:szCs w:val="28"/>
        </w:rPr>
      </w:pPr>
    </w:p>
    <w:p w14:paraId="49604627">
      <w:pPr>
        <w:pStyle w:val="73"/>
        <w:bidi w:val="0"/>
        <w:rPr>
          <w:rFonts w:hint="eastAsia"/>
          <w:sz w:val="28"/>
          <w:szCs w:val="28"/>
        </w:rPr>
      </w:pPr>
    </w:p>
    <w:p w14:paraId="5FBB5E27">
      <w:pPr>
        <w:pStyle w:val="73"/>
        <w:bidi w:val="0"/>
        <w:rPr>
          <w:rFonts w:hint="eastAsia"/>
          <w:sz w:val="28"/>
          <w:szCs w:val="28"/>
        </w:rPr>
      </w:pPr>
    </w:p>
    <w:p w14:paraId="77988DDC">
      <w:pPr>
        <w:pStyle w:val="73"/>
        <w:bidi w:val="0"/>
        <w:jc w:val="both"/>
        <w:rPr>
          <w:rFonts w:hint="eastAsia"/>
          <w:sz w:val="28"/>
          <w:szCs w:val="28"/>
        </w:rPr>
      </w:pPr>
    </w:p>
    <w:p w14:paraId="12102677">
      <w:pPr>
        <w:pStyle w:val="73"/>
        <w:bidi w:val="0"/>
        <w:jc w:val="both"/>
        <w:rPr>
          <w:rFonts w:hint="eastAsia"/>
          <w:sz w:val="28"/>
          <w:szCs w:val="28"/>
        </w:rPr>
      </w:pPr>
    </w:p>
    <w:p w14:paraId="106BF398">
      <w:pPr>
        <w:pStyle w:val="73"/>
        <w:bidi w:val="0"/>
        <w:jc w:val="both"/>
        <w:rPr>
          <w:rFonts w:hint="eastAsia"/>
          <w:sz w:val="28"/>
          <w:szCs w:val="28"/>
        </w:rPr>
      </w:pPr>
    </w:p>
    <w:p w14:paraId="7F9574BC">
      <w:pPr>
        <w:pStyle w:val="73"/>
        <w:bidi w:val="0"/>
        <w:jc w:val="both"/>
        <w:rPr>
          <w:rFonts w:hint="eastAsia"/>
          <w:sz w:val="28"/>
          <w:szCs w:val="28"/>
        </w:rPr>
      </w:pPr>
    </w:p>
    <w:p w14:paraId="1D938F1E">
      <w:pPr>
        <w:pStyle w:val="73"/>
        <w:bidi w:val="0"/>
        <w:jc w:val="both"/>
        <w:rPr>
          <w:rFonts w:hint="eastAsia"/>
          <w:sz w:val="28"/>
          <w:szCs w:val="28"/>
        </w:rPr>
      </w:pPr>
    </w:p>
    <w:p w14:paraId="4E8A7C59">
      <w:pPr>
        <w:pStyle w:val="73"/>
        <w:bidi w:val="0"/>
        <w:jc w:val="both"/>
        <w:rPr>
          <w:rFonts w:hint="eastAsia"/>
          <w:sz w:val="28"/>
          <w:szCs w:val="28"/>
        </w:rPr>
      </w:pPr>
    </w:p>
    <w:p w14:paraId="3C1F373D">
      <w:pPr>
        <w:pStyle w:val="73"/>
        <w:bidi w:val="0"/>
        <w:jc w:val="both"/>
        <w:rPr>
          <w:rFonts w:hint="eastAsia"/>
          <w:sz w:val="28"/>
          <w:szCs w:val="28"/>
        </w:rPr>
      </w:pPr>
    </w:p>
    <w:p w14:paraId="6CFE3974">
      <w:pPr>
        <w:pStyle w:val="73"/>
        <w:bidi w:val="0"/>
        <w:jc w:val="both"/>
        <w:rPr>
          <w:rFonts w:hint="eastAsia"/>
          <w:sz w:val="28"/>
          <w:szCs w:val="28"/>
        </w:rPr>
      </w:pPr>
    </w:p>
    <w:p w14:paraId="57692290">
      <w:pPr>
        <w:pStyle w:val="73"/>
        <w:bidi w:val="0"/>
        <w:jc w:val="both"/>
        <w:rPr>
          <w:rFonts w:hint="eastAsia"/>
          <w:sz w:val="28"/>
          <w:szCs w:val="28"/>
        </w:rPr>
      </w:pPr>
    </w:p>
    <w:p w14:paraId="54EE2067">
      <w:pPr>
        <w:pStyle w:val="73"/>
        <w:bidi w:val="0"/>
        <w:jc w:val="both"/>
        <w:rPr>
          <w:rFonts w:hint="eastAsia"/>
          <w:sz w:val="28"/>
          <w:szCs w:val="28"/>
        </w:rPr>
      </w:pPr>
    </w:p>
    <w:p w14:paraId="68CDF21C">
      <w:pPr>
        <w:pStyle w:val="73"/>
        <w:bidi w:val="0"/>
        <w:jc w:val="both"/>
        <w:rPr>
          <w:rFonts w:hint="eastAsia"/>
          <w:sz w:val="28"/>
          <w:szCs w:val="28"/>
        </w:rPr>
      </w:pPr>
    </w:p>
    <w:p w14:paraId="5F1149E0">
      <w:pPr>
        <w:pStyle w:val="73"/>
        <w:bidi w:val="0"/>
        <w:jc w:val="both"/>
        <w:rPr>
          <w:rFonts w:hint="eastAsia"/>
          <w:sz w:val="28"/>
          <w:szCs w:val="28"/>
        </w:rPr>
      </w:pPr>
    </w:p>
    <w:p w14:paraId="24893D96">
      <w:pPr>
        <w:pStyle w:val="73"/>
        <w:bidi w:val="0"/>
        <w:rPr>
          <w:rFonts w:hint="eastAsia"/>
          <w:sz w:val="30"/>
          <w:szCs w:val="30"/>
          <w:lang w:val="en-US" w:eastAsia="zh-CN"/>
        </w:rPr>
      </w:pPr>
      <w:r>
        <w:rPr>
          <w:rFonts w:hint="eastAsia"/>
          <w:sz w:val="30"/>
          <w:szCs w:val="30"/>
          <w:lang w:val="en-US" w:eastAsia="zh-CN"/>
        </w:rPr>
        <w:t>华北科技学院</w:t>
      </w:r>
    </w:p>
    <w:p w14:paraId="67C1D38E">
      <w:pPr>
        <w:pStyle w:val="73"/>
        <w:bidi w:val="0"/>
        <w:rPr>
          <w:rFonts w:hint="eastAsia"/>
          <w:sz w:val="30"/>
          <w:szCs w:val="30"/>
        </w:rPr>
        <w:sectPr>
          <w:footerReference r:id="rId3" w:type="default"/>
          <w:pgSz w:w="11906" w:h="16838"/>
          <w:pgMar w:top="1928" w:right="1134" w:bottom="1134" w:left="1134" w:header="1418" w:footer="1134" w:gutter="284"/>
          <w:pgNumType w:fmt="decimal" w:start="1"/>
          <w:cols w:space="425" w:num="1"/>
          <w:formProt w:val="0"/>
          <w:docGrid w:linePitch="312" w:charSpace="0"/>
        </w:sectPr>
      </w:pPr>
      <w:r>
        <w:rPr>
          <w:rFonts w:hint="eastAsia"/>
          <w:sz w:val="30"/>
          <w:szCs w:val="30"/>
        </w:rPr>
        <w:t>202</w:t>
      </w:r>
      <w:r>
        <w:rPr>
          <w:rFonts w:hint="eastAsia"/>
          <w:sz w:val="30"/>
          <w:szCs w:val="30"/>
          <w:lang w:val="en-US" w:eastAsia="zh-CN"/>
        </w:rPr>
        <w:t>4</w:t>
      </w:r>
      <w:r>
        <w:rPr>
          <w:rFonts w:hint="eastAsia"/>
          <w:sz w:val="30"/>
          <w:szCs w:val="30"/>
        </w:rPr>
        <w:t>年</w:t>
      </w:r>
      <w:r>
        <w:rPr>
          <w:rFonts w:hint="eastAsia"/>
          <w:sz w:val="30"/>
          <w:szCs w:val="30"/>
          <w:lang w:val="en-US" w:eastAsia="zh-CN"/>
        </w:rPr>
        <w:t>8</w:t>
      </w:r>
      <w:r>
        <w:rPr>
          <w:rFonts w:hint="eastAsia"/>
          <w:sz w:val="30"/>
          <w:szCs w:val="30"/>
        </w:rPr>
        <w:t>月</w:t>
      </w:r>
    </w:p>
    <w:p w14:paraId="659C842D">
      <w:pPr>
        <w:bidi w:val="0"/>
        <w:spacing w:line="240" w:lineRule="auto"/>
        <w:rPr>
          <w:rFonts w:hint="eastAsia"/>
          <w:sz w:val="28"/>
          <w:szCs w:val="28"/>
          <w:lang w:val="en-US" w:eastAsia="zh-CN"/>
        </w:rPr>
      </w:pPr>
      <w:r>
        <w:rPr>
          <w:rFonts w:hint="eastAsia"/>
          <w:sz w:val="28"/>
          <w:szCs w:val="28"/>
          <w:lang w:val="en-US" w:eastAsia="zh-CN"/>
        </w:rPr>
        <w:t xml:space="preserve">项目名称：《煤矿井下充电换能站用动力电池技术规范》 </w:t>
      </w:r>
    </w:p>
    <w:p w14:paraId="0BA96D82">
      <w:pPr>
        <w:bidi w:val="0"/>
        <w:spacing w:line="240" w:lineRule="auto"/>
        <w:rPr>
          <w:rFonts w:hint="eastAsia"/>
          <w:sz w:val="28"/>
          <w:szCs w:val="28"/>
          <w:lang w:val="en-US" w:eastAsia="zh-CN"/>
        </w:rPr>
      </w:pPr>
    </w:p>
    <w:p w14:paraId="2916CC23">
      <w:pPr>
        <w:bidi w:val="0"/>
        <w:spacing w:line="240" w:lineRule="auto"/>
        <w:rPr>
          <w:rFonts w:hint="eastAsia"/>
          <w:sz w:val="28"/>
          <w:szCs w:val="28"/>
          <w:lang w:val="en-US" w:eastAsia="zh-CN"/>
        </w:rPr>
      </w:pPr>
      <w:r>
        <w:rPr>
          <w:rFonts w:hint="eastAsia"/>
          <w:sz w:val="28"/>
          <w:szCs w:val="28"/>
          <w:lang w:val="en-US" w:eastAsia="zh-CN"/>
        </w:rPr>
        <w:t>承担单位：华北科技学院</w:t>
      </w:r>
    </w:p>
    <w:p w14:paraId="139B1C45">
      <w:pPr>
        <w:bidi w:val="0"/>
        <w:spacing w:line="240" w:lineRule="auto"/>
        <w:rPr>
          <w:rFonts w:hint="eastAsia"/>
          <w:sz w:val="28"/>
          <w:szCs w:val="28"/>
          <w:lang w:val="en-US" w:eastAsia="zh-CN"/>
        </w:rPr>
      </w:pPr>
    </w:p>
    <w:p w14:paraId="673E398B">
      <w:pPr>
        <w:bidi w:val="0"/>
        <w:spacing w:line="240" w:lineRule="auto"/>
        <w:rPr>
          <w:rFonts w:hint="default"/>
          <w:sz w:val="28"/>
          <w:szCs w:val="28"/>
          <w:lang w:val="en-US" w:eastAsia="zh-CN"/>
        </w:rPr>
      </w:pPr>
      <w:r>
        <w:rPr>
          <w:rFonts w:hint="eastAsia"/>
          <w:sz w:val="28"/>
          <w:szCs w:val="28"/>
          <w:lang w:val="en-US" w:eastAsia="zh-CN"/>
        </w:rPr>
        <w:t>项目编号：t/ccs2023016</w:t>
      </w:r>
    </w:p>
    <w:p w14:paraId="739A9262">
      <w:pPr>
        <w:bidi w:val="0"/>
        <w:spacing w:line="240" w:lineRule="auto"/>
        <w:rPr>
          <w:rFonts w:hint="eastAsia"/>
          <w:sz w:val="28"/>
          <w:szCs w:val="28"/>
          <w:lang w:val="en-US" w:eastAsia="zh-CN"/>
        </w:rPr>
      </w:pPr>
    </w:p>
    <w:p w14:paraId="351F6C20">
      <w:pPr>
        <w:bidi w:val="0"/>
        <w:spacing w:line="240" w:lineRule="auto"/>
        <w:rPr>
          <w:rFonts w:hint="eastAsia"/>
          <w:sz w:val="28"/>
          <w:szCs w:val="28"/>
          <w:lang w:val="en-US" w:eastAsia="zh-CN"/>
        </w:rPr>
      </w:pPr>
    </w:p>
    <w:p w14:paraId="2F696125">
      <w:pPr>
        <w:bidi w:val="0"/>
        <w:spacing w:line="240" w:lineRule="auto"/>
        <w:rPr>
          <w:rFonts w:hint="eastAsia"/>
          <w:sz w:val="28"/>
          <w:szCs w:val="28"/>
          <w:lang w:val="en-US" w:eastAsia="zh-CN"/>
        </w:rPr>
      </w:pPr>
    </w:p>
    <w:p w14:paraId="673F7057">
      <w:pPr>
        <w:bidi w:val="0"/>
        <w:spacing w:line="240" w:lineRule="auto"/>
        <w:rPr>
          <w:rFonts w:hint="eastAsia"/>
          <w:sz w:val="28"/>
          <w:szCs w:val="28"/>
          <w:lang w:val="en-US" w:eastAsia="zh-CN"/>
        </w:rPr>
      </w:pPr>
    </w:p>
    <w:p w14:paraId="7AF3A4EC">
      <w:pPr>
        <w:bidi w:val="0"/>
        <w:spacing w:line="240" w:lineRule="auto"/>
        <w:rPr>
          <w:rFonts w:hint="eastAsia"/>
          <w:sz w:val="28"/>
          <w:szCs w:val="28"/>
          <w:lang w:val="en-US" w:eastAsia="zh-CN"/>
        </w:rPr>
      </w:pPr>
    </w:p>
    <w:p w14:paraId="7513C153">
      <w:pPr>
        <w:bidi w:val="0"/>
        <w:spacing w:line="240" w:lineRule="auto"/>
        <w:rPr>
          <w:rFonts w:hint="default"/>
          <w:sz w:val="28"/>
          <w:szCs w:val="28"/>
          <w:lang w:val="en-US" w:eastAsia="zh-CN"/>
        </w:rPr>
      </w:pPr>
      <w:r>
        <w:rPr>
          <w:rFonts w:hint="eastAsia"/>
          <w:sz w:val="28"/>
          <w:szCs w:val="28"/>
          <w:lang w:val="en-US" w:eastAsia="zh-CN"/>
        </w:rPr>
        <w:t>课题负责人：张全柱</w:t>
      </w:r>
    </w:p>
    <w:p w14:paraId="168976A5">
      <w:pPr>
        <w:bidi w:val="0"/>
        <w:spacing w:line="240" w:lineRule="auto"/>
        <w:rPr>
          <w:rFonts w:hint="eastAsia"/>
          <w:sz w:val="28"/>
          <w:szCs w:val="28"/>
          <w:lang w:val="en-US" w:eastAsia="zh-CN"/>
        </w:rPr>
      </w:pPr>
    </w:p>
    <w:p w14:paraId="6B1730EC">
      <w:pPr>
        <w:bidi w:val="0"/>
        <w:spacing w:line="240" w:lineRule="auto"/>
        <w:rPr>
          <w:rFonts w:hint="default"/>
          <w:sz w:val="28"/>
          <w:szCs w:val="28"/>
          <w:lang w:val="en-US" w:eastAsia="zh-CN"/>
        </w:rPr>
      </w:pPr>
      <w:r>
        <w:rPr>
          <w:rFonts w:hint="eastAsia"/>
          <w:sz w:val="28"/>
          <w:szCs w:val="28"/>
          <w:lang w:val="en-US" w:eastAsia="zh-CN"/>
        </w:rPr>
        <w:t>编  写  人：张全柱 张志强 邓永红 黄佩瑶 宋沣珂 毕瑞卿</w:t>
      </w:r>
    </w:p>
    <w:p w14:paraId="75CABEA2">
      <w:pPr>
        <w:bidi w:val="0"/>
        <w:spacing w:line="240" w:lineRule="auto"/>
        <w:rPr>
          <w:rFonts w:hint="eastAsia"/>
          <w:sz w:val="28"/>
          <w:szCs w:val="28"/>
          <w:lang w:val="en-US" w:eastAsia="zh-CN"/>
        </w:rPr>
      </w:pPr>
    </w:p>
    <w:p w14:paraId="2F8BEDDA">
      <w:pPr>
        <w:bidi w:val="0"/>
        <w:spacing w:line="240" w:lineRule="auto"/>
        <w:ind w:left="1960" w:hanging="1960" w:hangingChars="700"/>
        <w:jc w:val="both"/>
        <w:rPr>
          <w:rFonts w:hint="eastAsia"/>
          <w:color w:val="000000" w:themeColor="text1"/>
          <w:lang w:val="en-US" w:eastAsia="zh-CN"/>
          <w14:textFill>
            <w14:solidFill>
              <w14:schemeClr w14:val="tx1"/>
            </w14:solidFill>
          </w14:textFill>
        </w:rPr>
      </w:pPr>
      <w:r>
        <w:rPr>
          <w:rFonts w:hint="eastAsia"/>
          <w:sz w:val="28"/>
          <w:szCs w:val="28"/>
          <w:lang w:val="en-US" w:eastAsia="zh-CN"/>
        </w:rPr>
        <w:t>课题组成员：</w:t>
      </w:r>
      <w:r>
        <w:rPr>
          <w:rFonts w:hint="eastAsia"/>
          <w:color w:val="auto"/>
          <w:sz w:val="28"/>
          <w:szCs w:val="28"/>
          <w:lang w:val="en-US" w:eastAsia="zh-CN"/>
        </w:rPr>
        <w:t>张全柱 张志强 邓永红 黄佩瑶 宋沣珂</w:t>
      </w:r>
      <w:r>
        <w:rPr>
          <w:rFonts w:hint="eastAsia"/>
          <w:color w:val="FF0000"/>
          <w:sz w:val="28"/>
          <w:szCs w:val="28"/>
          <w:lang w:val="en-US" w:eastAsia="zh-CN"/>
        </w:rPr>
        <w:t xml:space="preserve"> </w:t>
      </w:r>
      <w:r>
        <w:rPr>
          <w:rFonts w:hint="eastAsia"/>
          <w:color w:val="000000" w:themeColor="text1"/>
          <w:lang w:val="en-US" w:eastAsia="zh-CN"/>
          <w14:textFill>
            <w14:solidFill>
              <w14:schemeClr w14:val="tx1"/>
            </w14:solidFill>
          </w14:textFill>
        </w:rPr>
        <w:t>毕瑞卿 张军</w:t>
      </w:r>
    </w:p>
    <w:p w14:paraId="642348DF">
      <w:pPr>
        <w:bidi w:val="0"/>
        <w:spacing w:line="240" w:lineRule="auto"/>
        <w:ind w:left="1960" w:leftChars="600" w:hanging="280" w:hangingChars="100"/>
        <w:jc w:val="both"/>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李清林 孙德宇 刘建宇 许联航 郭洋楠 何瑞敏 王庆</w:t>
      </w:r>
    </w:p>
    <w:p w14:paraId="7082898D">
      <w:pPr>
        <w:bidi w:val="0"/>
        <w:spacing w:line="240" w:lineRule="auto"/>
        <w:ind w:left="1960" w:leftChars="600" w:hanging="280" w:hangingChars="100"/>
        <w:jc w:val="both"/>
        <w:rPr>
          <w:rFonts w:hint="eastAsia"/>
          <w:sz w:val="28"/>
          <w:szCs w:val="28"/>
          <w:lang w:val="en-US" w:eastAsia="zh-CN"/>
        </w:rPr>
      </w:pPr>
      <w:r>
        <w:rPr>
          <w:rFonts w:hint="eastAsia"/>
          <w:color w:val="000000" w:themeColor="text1"/>
          <w:lang w:val="en-US" w:eastAsia="zh-CN"/>
          <w14:textFill>
            <w14:solidFill>
              <w14:schemeClr w14:val="tx1"/>
            </w14:solidFill>
          </w14:textFill>
        </w:rPr>
        <w:t xml:space="preserve">雄 张勇沃磊 </w:t>
      </w:r>
      <w:r>
        <w:rPr>
          <w:rFonts w:hint="eastAsia"/>
          <w:color w:val="000000" w:themeColor="text1"/>
          <w14:textFill>
            <w14:solidFill>
              <w14:schemeClr w14:val="tx1"/>
            </w14:solidFill>
          </w14:textFill>
        </w:rPr>
        <w:t>温良</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杨大山</w:t>
      </w:r>
      <w:r>
        <w:rPr>
          <w:rFonts w:hint="eastAsia"/>
          <w:color w:val="000000" w:themeColor="text1"/>
          <w:lang w:val="en-US"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张伟</w:t>
      </w:r>
      <w:r>
        <w:rPr>
          <w:rFonts w:hint="eastAsia"/>
          <w:color w:val="000000" w:themeColor="text1"/>
          <w:lang w:val="en-US"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王鹏</w:t>
      </w:r>
      <w:r>
        <w:rPr>
          <w:rFonts w:hint="eastAsia"/>
          <w:color w:val="000000" w:themeColor="text1"/>
          <w:lang w:val="en-US"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钱军</w:t>
      </w:r>
      <w:r>
        <w:rPr>
          <w:rFonts w:hint="eastAsia"/>
          <w:color w:val="000000" w:themeColor="text1"/>
          <w:lang w:val="en-US" w:eastAsia="zh-CN"/>
          <w14:textFill>
            <w14:solidFill>
              <w14:schemeClr w14:val="tx1"/>
            </w14:solidFill>
          </w14:textFill>
        </w:rPr>
        <w:t xml:space="preserve"> </w:t>
      </w:r>
      <w:r>
        <w:rPr>
          <w:rFonts w:hint="eastAsia"/>
          <w:color w:val="000000" w:themeColor="text1"/>
          <w:lang w:eastAsia="zh-CN"/>
          <w14:textFill>
            <w14:solidFill>
              <w14:schemeClr w14:val="tx1"/>
            </w14:solidFill>
          </w14:textFill>
        </w:rPr>
        <w:t>杨成华</w:t>
      </w:r>
    </w:p>
    <w:p w14:paraId="6BD3C94E">
      <w:pPr>
        <w:bidi w:val="0"/>
        <w:spacing w:line="240" w:lineRule="auto"/>
        <w:ind w:left="1960" w:hanging="1960" w:hangingChars="700"/>
        <w:jc w:val="both"/>
        <w:rPr>
          <w:rFonts w:hint="eastAsia"/>
          <w:color w:val="000000" w:themeColor="text1"/>
          <w:lang w:val="en-US" w:eastAsia="zh-CN"/>
          <w14:textFill>
            <w14:solidFill>
              <w14:schemeClr w14:val="tx1"/>
            </w14:solidFill>
          </w14:textFill>
        </w:rPr>
      </w:pPr>
    </w:p>
    <w:p w14:paraId="51D6E5C7">
      <w:pPr>
        <w:bidi w:val="0"/>
        <w:spacing w:line="240" w:lineRule="auto"/>
        <w:ind w:firstLine="1680" w:firstLineChars="600"/>
        <w:rPr>
          <w:rFonts w:hint="default"/>
          <w:sz w:val="28"/>
          <w:szCs w:val="28"/>
          <w:lang w:val="en-US" w:eastAsia="zh-CN"/>
        </w:rPr>
      </w:pPr>
      <w:r>
        <w:rPr>
          <w:rFonts w:hint="eastAsia"/>
          <w:sz w:val="28"/>
          <w:szCs w:val="28"/>
          <w:lang w:val="en-US" w:eastAsia="zh-CN"/>
        </w:rPr>
        <w:t xml:space="preserve"> </w:t>
      </w:r>
    </w:p>
    <w:p w14:paraId="01A808F5">
      <w:pPr>
        <w:bidi w:val="0"/>
        <w:spacing w:line="240" w:lineRule="auto"/>
        <w:rPr>
          <w:rFonts w:hint="eastAsia"/>
          <w:lang w:val="en-US" w:eastAsia="zh-CN"/>
        </w:rPr>
      </w:pPr>
    </w:p>
    <w:p w14:paraId="027935AB">
      <w:pPr>
        <w:bidi w:val="0"/>
        <w:spacing w:line="240" w:lineRule="auto"/>
        <w:rPr>
          <w:rFonts w:hint="default"/>
          <w:lang w:val="en-US" w:eastAsia="zh-CN"/>
        </w:rPr>
      </w:pPr>
    </w:p>
    <w:p w14:paraId="2A48EA76">
      <w:pPr>
        <w:bidi w:val="0"/>
        <w:spacing w:line="240" w:lineRule="auto"/>
        <w:rPr>
          <w:rFonts w:hint="default"/>
          <w:lang w:val="en-US" w:eastAsia="zh-CN"/>
        </w:rPr>
      </w:pPr>
    </w:p>
    <w:p w14:paraId="383D6F96">
      <w:pPr>
        <w:bidi w:val="0"/>
        <w:spacing w:line="240" w:lineRule="auto"/>
        <w:rPr>
          <w:rFonts w:hint="default"/>
          <w:lang w:val="en-US" w:eastAsia="zh-CN"/>
        </w:rPr>
      </w:pPr>
    </w:p>
    <w:p w14:paraId="22523335">
      <w:pPr>
        <w:bidi w:val="0"/>
        <w:spacing w:line="240" w:lineRule="auto"/>
        <w:rPr>
          <w:rFonts w:hint="default"/>
          <w:lang w:val="en-US" w:eastAsia="zh-CN"/>
        </w:rPr>
      </w:pPr>
    </w:p>
    <w:p w14:paraId="7568FB97">
      <w:pPr>
        <w:bidi w:val="0"/>
        <w:spacing w:line="240" w:lineRule="auto"/>
        <w:rPr>
          <w:rFonts w:hint="default"/>
          <w:lang w:val="en-US" w:eastAsia="zh-CN"/>
        </w:rPr>
      </w:pPr>
    </w:p>
    <w:p w14:paraId="4B28F3D9">
      <w:pPr>
        <w:bidi w:val="0"/>
        <w:spacing w:line="240" w:lineRule="auto"/>
        <w:rPr>
          <w:rFonts w:hint="default"/>
          <w:lang w:val="en-US" w:eastAsia="zh-CN"/>
        </w:rPr>
      </w:pPr>
    </w:p>
    <w:p w14:paraId="48A05D69">
      <w:pPr>
        <w:bidi w:val="0"/>
        <w:spacing w:line="240" w:lineRule="auto"/>
        <w:rPr>
          <w:rFonts w:hint="default"/>
          <w:lang w:val="en-US" w:eastAsia="zh-CN"/>
        </w:rPr>
      </w:pPr>
    </w:p>
    <w:p w14:paraId="07D64859">
      <w:pPr>
        <w:bidi w:val="0"/>
        <w:spacing w:line="240" w:lineRule="auto"/>
        <w:rPr>
          <w:rFonts w:hint="default"/>
          <w:lang w:val="en-US" w:eastAsia="zh-CN"/>
        </w:rPr>
      </w:pPr>
    </w:p>
    <w:p w14:paraId="2851FDCB">
      <w:pPr>
        <w:bidi w:val="0"/>
        <w:spacing w:line="240" w:lineRule="auto"/>
        <w:rPr>
          <w:rFonts w:hint="default"/>
          <w:lang w:val="en-US" w:eastAsia="zh-CN"/>
        </w:rPr>
      </w:pPr>
    </w:p>
    <w:p w14:paraId="2DBDA45F">
      <w:pPr>
        <w:bidi w:val="0"/>
        <w:spacing w:line="240" w:lineRule="auto"/>
        <w:rPr>
          <w:rFonts w:hint="default"/>
          <w:lang w:val="en-US" w:eastAsia="zh-CN"/>
        </w:rPr>
      </w:pPr>
    </w:p>
    <w:p w14:paraId="77D236CD">
      <w:pPr>
        <w:bidi w:val="0"/>
        <w:spacing w:line="240" w:lineRule="auto"/>
        <w:rPr>
          <w:rFonts w:hint="default"/>
          <w:lang w:val="en-US" w:eastAsia="zh-CN"/>
        </w:rPr>
      </w:pPr>
    </w:p>
    <w:p w14:paraId="4B6007EA">
      <w:pPr>
        <w:pStyle w:val="4"/>
        <w:ind w:left="0" w:leftChars="0" w:firstLine="0" w:firstLineChars="0"/>
        <w:jc w:val="center"/>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华北科技学院</w:t>
      </w:r>
    </w:p>
    <w:p w14:paraId="679F239D">
      <w:pPr>
        <w:pStyle w:val="4"/>
        <w:ind w:left="0" w:leftChars="0" w:firstLine="0" w:firstLineChars="0"/>
        <w:jc w:val="center"/>
        <w:rPr>
          <w:rFonts w:hint="eastAsia"/>
          <w:lang w:val="en-US" w:eastAsia="zh-CN"/>
        </w:rPr>
      </w:pPr>
      <w:r>
        <w:rPr>
          <w:rFonts w:hint="eastAsia" w:ascii="黑体" w:hAnsi="黑体" w:eastAsia="黑体" w:cs="黑体"/>
          <w:color w:val="000000" w:themeColor="text1"/>
          <w:sz w:val="28"/>
          <w:szCs w:val="28"/>
          <w14:textFill>
            <w14:solidFill>
              <w14:schemeClr w14:val="tx1"/>
            </w14:solidFill>
          </w14:textFill>
        </w:rPr>
        <w:t>202</w:t>
      </w:r>
      <w:r>
        <w:rPr>
          <w:rFonts w:hint="eastAsia" w:ascii="黑体" w:hAnsi="黑体" w:eastAsia="黑体" w:cs="黑体"/>
          <w:color w:val="000000" w:themeColor="text1"/>
          <w:sz w:val="28"/>
          <w:szCs w:val="28"/>
          <w:lang w:val="en-US" w:eastAsia="zh-CN"/>
          <w14:textFill>
            <w14:solidFill>
              <w14:schemeClr w14:val="tx1"/>
            </w14:solidFill>
          </w14:textFill>
        </w:rPr>
        <w:t>4</w:t>
      </w:r>
      <w:r>
        <w:rPr>
          <w:rFonts w:hint="eastAsia" w:ascii="黑体" w:hAnsi="黑体" w:eastAsia="黑体" w:cs="黑体"/>
          <w:color w:val="000000" w:themeColor="text1"/>
          <w:sz w:val="28"/>
          <w:szCs w:val="28"/>
          <w14:textFill>
            <w14:solidFill>
              <w14:schemeClr w14:val="tx1"/>
            </w14:solidFill>
          </w14:textFill>
        </w:rPr>
        <w:t xml:space="preserve"> 年 </w:t>
      </w:r>
      <w:r>
        <w:rPr>
          <w:rFonts w:hint="eastAsia" w:ascii="黑体" w:hAnsi="黑体" w:eastAsia="黑体" w:cs="黑体"/>
          <w:color w:val="000000" w:themeColor="text1"/>
          <w:sz w:val="28"/>
          <w:szCs w:val="28"/>
          <w:lang w:val="en-US" w:eastAsia="zh-CN"/>
          <w14:textFill>
            <w14:solidFill>
              <w14:schemeClr w14:val="tx1"/>
            </w14:solidFill>
          </w14:textFill>
        </w:rPr>
        <w:t>8</w:t>
      </w:r>
      <w:r>
        <w:rPr>
          <w:rFonts w:hint="eastAsia" w:ascii="黑体" w:hAnsi="黑体" w:eastAsia="黑体" w:cs="黑体"/>
          <w:color w:val="000000" w:themeColor="text1"/>
          <w:sz w:val="28"/>
          <w:szCs w:val="28"/>
          <w14:textFill>
            <w14:solidFill>
              <w14:schemeClr w14:val="tx1"/>
            </w14:solidFill>
          </w14:textFill>
        </w:rPr>
        <w:t xml:space="preserve"> </w:t>
      </w:r>
      <w:r>
        <w:rPr>
          <w:rFonts w:hint="eastAsia" w:ascii="黑体" w:hAnsi="黑体" w:eastAsia="黑体" w:cs="黑体"/>
          <w:color w:val="000000" w:themeColor="text1"/>
          <w:sz w:val="28"/>
          <w:szCs w:val="28"/>
          <w:lang w:val="en-US" w:eastAsia="zh-CN"/>
          <w14:textFill>
            <w14:solidFill>
              <w14:schemeClr w14:val="tx1"/>
            </w14:solidFill>
          </w14:textFill>
        </w:rPr>
        <w:t>月</w:t>
      </w:r>
    </w:p>
    <w:p w14:paraId="4556AF2C">
      <w:pPr>
        <w:pStyle w:val="4"/>
        <w:bidi w:val="0"/>
        <w:ind w:left="0" w:leftChars="0" w:firstLine="0" w:firstLineChars="0"/>
        <w:rPr>
          <w:rFonts w:hint="eastAsia"/>
          <w:lang w:val="en-US" w:eastAsia="zh-CN"/>
        </w:rPr>
      </w:pPr>
    </w:p>
    <w:p w14:paraId="21E819F5">
      <w:pPr>
        <w:pStyle w:val="4"/>
        <w:bidi w:val="0"/>
        <w:ind w:left="0" w:leftChars="0" w:firstLine="560" w:firstLineChars="200"/>
        <w:rPr>
          <w:rFonts w:hint="eastAsia"/>
          <w:lang w:val="en-US" w:eastAsia="zh-CN"/>
        </w:rPr>
      </w:pPr>
    </w:p>
    <w:sdt>
      <w:sdtPr>
        <w:rPr>
          <w:rFonts w:hint="eastAsia" w:ascii="黑体" w:hAnsi="黑体" w:eastAsia="黑体" w:cs="黑体"/>
          <w:b w:val="0"/>
          <w:bCs w:val="0"/>
          <w:kern w:val="2"/>
          <w:sz w:val="32"/>
          <w:szCs w:val="32"/>
          <w:lang w:val="en-US" w:eastAsia="zh-CN" w:bidi="ar-SA"/>
        </w:rPr>
        <w:id w:val="147468029"/>
        <w15:color w:val="DBDBDB"/>
        <w:docPartObj>
          <w:docPartGallery w:val="Table of Contents"/>
          <w:docPartUnique/>
        </w:docPartObj>
      </w:sdtPr>
      <w:sdtEndPr>
        <w:rPr>
          <w:rFonts w:hint="eastAsia" w:ascii="黑体" w:hAnsi="黑体" w:eastAsia="黑体" w:cs="黑体"/>
          <w:b w:val="0"/>
          <w:bCs w:val="0"/>
          <w:kern w:val="2"/>
          <w:sz w:val="32"/>
          <w:szCs w:val="32"/>
          <w:lang w:val="en-US" w:eastAsia="zh-CN" w:bidi="ar-SA"/>
        </w:rPr>
      </w:sdtEndPr>
      <w:sdtContent>
        <w:p w14:paraId="2EFFA6BA">
          <w:pPr>
            <w:spacing w:before="0" w:beforeLines="0" w:after="0" w:afterLines="0" w:line="240" w:lineRule="auto"/>
            <w:ind w:left="0" w:leftChars="0" w:right="0" w:rightChars="0" w:firstLine="0" w:firstLineChars="0"/>
            <w:jc w:val="center"/>
            <w:rPr>
              <w:rFonts w:hint="eastAsia" w:ascii="黑体" w:hAnsi="黑体" w:eastAsia="黑体" w:cs="黑体"/>
              <w:b w:val="0"/>
              <w:bCs w:val="0"/>
              <w:sz w:val="32"/>
              <w:szCs w:val="32"/>
            </w:rPr>
          </w:pPr>
          <w:r>
            <w:rPr>
              <w:rFonts w:hint="eastAsia" w:ascii="黑体" w:hAnsi="黑体" w:eastAsia="黑体" w:cs="黑体"/>
              <w:b w:val="0"/>
              <w:bCs w:val="0"/>
              <w:sz w:val="32"/>
              <w:szCs w:val="32"/>
            </w:rPr>
            <w:t>目</w:t>
          </w:r>
          <w:r>
            <w:rPr>
              <w:rFonts w:hint="eastAsia" w:ascii="黑体" w:hAnsi="黑体" w:eastAsia="黑体" w:cs="黑体"/>
              <w:b w:val="0"/>
              <w:bCs w:val="0"/>
              <w:sz w:val="32"/>
              <w:szCs w:val="32"/>
              <w:lang w:val="en-US" w:eastAsia="zh-CN"/>
            </w:rPr>
            <w:t xml:space="preserve"> </w:t>
          </w:r>
          <w:r>
            <w:rPr>
              <w:rFonts w:hint="eastAsia" w:ascii="黑体" w:hAnsi="黑体" w:eastAsia="黑体" w:cs="黑体"/>
              <w:b w:val="0"/>
              <w:bCs w:val="0"/>
              <w:sz w:val="32"/>
              <w:szCs w:val="32"/>
            </w:rPr>
            <w:t>录</w:t>
          </w:r>
        </w:p>
        <w:p w14:paraId="14542CFA">
          <w:pPr>
            <w:pStyle w:val="22"/>
            <w:keepNext w:val="0"/>
            <w:keepLines w:val="0"/>
            <w:pageBreakBefore w:val="0"/>
            <w:widowControl w:val="0"/>
            <w:tabs>
              <w:tab w:val="right" w:leader="dot" w:pos="8306"/>
            </w:tabs>
            <w:kinsoku/>
            <w:wordWrap/>
            <w:overflowPunct/>
            <w:topLinePunct w:val="0"/>
            <w:autoSpaceDE/>
            <w:autoSpaceDN/>
            <w:bidi w:val="0"/>
            <w:adjustRightInd w:val="0"/>
            <w:snapToGrid/>
            <w:spacing w:line="360" w:lineRule="auto"/>
            <w:textAlignment w:val="auto"/>
          </w:pPr>
          <w:r>
            <w:fldChar w:fldCharType="begin"/>
          </w:r>
          <w:r>
            <w:instrText xml:space="preserve">TOC \o "1-3" \h \u </w:instrText>
          </w:r>
          <w:r>
            <w:fldChar w:fldCharType="separate"/>
          </w:r>
          <w:r>
            <w:fldChar w:fldCharType="begin"/>
          </w:r>
          <w:r>
            <w:instrText xml:space="preserve"> HYPERLINK \l _Toc3159 </w:instrText>
          </w:r>
          <w:r>
            <w:fldChar w:fldCharType="separate"/>
          </w:r>
          <w:r>
            <w:rPr>
              <w:rFonts w:hint="eastAsia"/>
              <w:lang w:val="en-US" w:eastAsia="zh-CN"/>
            </w:rPr>
            <w:t xml:space="preserve">一、 </w:t>
          </w:r>
          <w:r>
            <w:rPr>
              <w:rFonts w:hint="eastAsia"/>
              <w:szCs w:val="28"/>
              <w:lang w:val="en-US" w:eastAsia="zh-CN"/>
            </w:rPr>
            <w:t>工作简况</w:t>
          </w:r>
          <w:r>
            <w:tab/>
          </w:r>
          <w:r>
            <w:fldChar w:fldCharType="begin"/>
          </w:r>
          <w:r>
            <w:instrText xml:space="preserve"> PAGEREF _Toc3159 \h </w:instrText>
          </w:r>
          <w:r>
            <w:fldChar w:fldCharType="separate"/>
          </w:r>
          <w:r>
            <w:t>1</w:t>
          </w:r>
          <w:r>
            <w:fldChar w:fldCharType="end"/>
          </w:r>
          <w:r>
            <w:fldChar w:fldCharType="end"/>
          </w:r>
        </w:p>
        <w:p w14:paraId="52540CD7">
          <w:pPr>
            <w:pStyle w:val="27"/>
            <w:keepNext w:val="0"/>
            <w:keepLines w:val="0"/>
            <w:pageBreakBefore w:val="0"/>
            <w:widowControl w:val="0"/>
            <w:tabs>
              <w:tab w:val="right" w:leader="dot" w:pos="8306"/>
              <w:tab w:val="clear" w:pos="9344"/>
            </w:tabs>
            <w:kinsoku/>
            <w:wordWrap/>
            <w:overflowPunct/>
            <w:topLinePunct w:val="0"/>
            <w:autoSpaceDE/>
            <w:autoSpaceDN/>
            <w:bidi w:val="0"/>
            <w:adjustRightInd w:val="0"/>
            <w:snapToGrid/>
            <w:spacing w:line="360" w:lineRule="auto"/>
            <w:textAlignment w:val="auto"/>
          </w:pPr>
          <w:r>
            <w:fldChar w:fldCharType="begin"/>
          </w:r>
          <w:r>
            <w:instrText xml:space="preserve"> HYPERLINK \l _Toc18128 </w:instrText>
          </w:r>
          <w:r>
            <w:fldChar w:fldCharType="separate"/>
          </w:r>
          <w:r>
            <w:rPr>
              <w:rFonts w:hint="eastAsia"/>
              <w:szCs w:val="28"/>
              <w:lang w:val="en-US" w:eastAsia="zh-CN"/>
            </w:rPr>
            <w:t>（一）工作来源</w:t>
          </w:r>
          <w:r>
            <w:tab/>
          </w:r>
          <w:r>
            <w:fldChar w:fldCharType="begin"/>
          </w:r>
          <w:r>
            <w:instrText xml:space="preserve"> PAGEREF _Toc18128 \h </w:instrText>
          </w:r>
          <w:r>
            <w:fldChar w:fldCharType="separate"/>
          </w:r>
          <w:r>
            <w:t>1</w:t>
          </w:r>
          <w:r>
            <w:fldChar w:fldCharType="end"/>
          </w:r>
          <w:r>
            <w:fldChar w:fldCharType="end"/>
          </w:r>
        </w:p>
        <w:p w14:paraId="7AE290E2">
          <w:pPr>
            <w:pStyle w:val="27"/>
            <w:keepNext w:val="0"/>
            <w:keepLines w:val="0"/>
            <w:pageBreakBefore w:val="0"/>
            <w:widowControl w:val="0"/>
            <w:tabs>
              <w:tab w:val="right" w:leader="dot" w:pos="8306"/>
              <w:tab w:val="clear" w:pos="9344"/>
            </w:tabs>
            <w:kinsoku/>
            <w:wordWrap/>
            <w:overflowPunct/>
            <w:topLinePunct w:val="0"/>
            <w:autoSpaceDE/>
            <w:autoSpaceDN/>
            <w:bidi w:val="0"/>
            <w:adjustRightInd w:val="0"/>
            <w:snapToGrid/>
            <w:spacing w:line="360" w:lineRule="auto"/>
            <w:textAlignment w:val="auto"/>
          </w:pPr>
          <w:r>
            <w:fldChar w:fldCharType="begin"/>
          </w:r>
          <w:r>
            <w:instrText xml:space="preserve"> HYPERLINK \l _Toc14872 </w:instrText>
          </w:r>
          <w:r>
            <w:fldChar w:fldCharType="separate"/>
          </w:r>
          <w:r>
            <w:rPr>
              <w:rFonts w:hint="eastAsia"/>
              <w:szCs w:val="28"/>
              <w:lang w:val="en-US" w:eastAsia="zh-CN"/>
            </w:rPr>
            <w:t>（二）主要起草单位</w:t>
          </w:r>
          <w:r>
            <w:tab/>
          </w:r>
          <w:r>
            <w:fldChar w:fldCharType="begin"/>
          </w:r>
          <w:r>
            <w:instrText xml:space="preserve"> PAGEREF _Toc14872 \h </w:instrText>
          </w:r>
          <w:r>
            <w:fldChar w:fldCharType="separate"/>
          </w:r>
          <w:r>
            <w:t>1</w:t>
          </w:r>
          <w:r>
            <w:fldChar w:fldCharType="end"/>
          </w:r>
          <w:r>
            <w:fldChar w:fldCharType="end"/>
          </w:r>
        </w:p>
        <w:p w14:paraId="06F62A41">
          <w:pPr>
            <w:pStyle w:val="27"/>
            <w:keepNext w:val="0"/>
            <w:keepLines w:val="0"/>
            <w:pageBreakBefore w:val="0"/>
            <w:widowControl w:val="0"/>
            <w:tabs>
              <w:tab w:val="right" w:leader="dot" w:pos="8306"/>
              <w:tab w:val="clear" w:pos="9344"/>
            </w:tabs>
            <w:kinsoku/>
            <w:wordWrap/>
            <w:overflowPunct/>
            <w:topLinePunct w:val="0"/>
            <w:autoSpaceDE/>
            <w:autoSpaceDN/>
            <w:bidi w:val="0"/>
            <w:adjustRightInd w:val="0"/>
            <w:snapToGrid/>
            <w:spacing w:line="360" w:lineRule="auto"/>
            <w:textAlignment w:val="auto"/>
          </w:pPr>
          <w:r>
            <w:fldChar w:fldCharType="begin"/>
          </w:r>
          <w:r>
            <w:instrText xml:space="preserve"> HYPERLINK \l _Toc5722 </w:instrText>
          </w:r>
          <w:r>
            <w:fldChar w:fldCharType="separate"/>
          </w:r>
          <w:r>
            <w:rPr>
              <w:rFonts w:hint="eastAsia"/>
              <w:szCs w:val="28"/>
              <w:lang w:val="en-US" w:eastAsia="zh-CN"/>
            </w:rPr>
            <w:t>（三）主要起草人</w:t>
          </w:r>
          <w:r>
            <w:tab/>
          </w:r>
          <w:r>
            <w:fldChar w:fldCharType="begin"/>
          </w:r>
          <w:r>
            <w:instrText xml:space="preserve"> PAGEREF _Toc5722 \h </w:instrText>
          </w:r>
          <w:r>
            <w:fldChar w:fldCharType="separate"/>
          </w:r>
          <w:r>
            <w:t>1</w:t>
          </w:r>
          <w:r>
            <w:fldChar w:fldCharType="end"/>
          </w:r>
          <w:r>
            <w:fldChar w:fldCharType="end"/>
          </w:r>
        </w:p>
        <w:p w14:paraId="49E63258">
          <w:pPr>
            <w:pStyle w:val="22"/>
            <w:keepNext w:val="0"/>
            <w:keepLines w:val="0"/>
            <w:pageBreakBefore w:val="0"/>
            <w:widowControl w:val="0"/>
            <w:tabs>
              <w:tab w:val="right" w:leader="dot" w:pos="8306"/>
            </w:tabs>
            <w:kinsoku/>
            <w:wordWrap/>
            <w:overflowPunct/>
            <w:topLinePunct w:val="0"/>
            <w:autoSpaceDE/>
            <w:autoSpaceDN/>
            <w:bidi w:val="0"/>
            <w:adjustRightInd w:val="0"/>
            <w:snapToGrid/>
            <w:spacing w:line="360" w:lineRule="auto"/>
            <w:textAlignment w:val="auto"/>
          </w:pPr>
          <w:r>
            <w:fldChar w:fldCharType="begin"/>
          </w:r>
          <w:r>
            <w:instrText xml:space="preserve"> HYPERLINK \l _Toc17588 </w:instrText>
          </w:r>
          <w:r>
            <w:fldChar w:fldCharType="separate"/>
          </w:r>
          <w:r>
            <w:rPr>
              <w:rFonts w:hint="eastAsia"/>
              <w:szCs w:val="28"/>
              <w:lang w:val="en-US" w:eastAsia="zh-CN"/>
            </w:rPr>
            <w:t>二、主要起草过程</w:t>
          </w:r>
          <w:r>
            <w:tab/>
          </w:r>
          <w:r>
            <w:fldChar w:fldCharType="begin"/>
          </w:r>
          <w:r>
            <w:instrText xml:space="preserve"> PAGEREF _Toc17588 \h </w:instrText>
          </w:r>
          <w:r>
            <w:fldChar w:fldCharType="separate"/>
          </w:r>
          <w:r>
            <w:t>2</w:t>
          </w:r>
          <w:r>
            <w:fldChar w:fldCharType="end"/>
          </w:r>
          <w:r>
            <w:fldChar w:fldCharType="end"/>
          </w:r>
        </w:p>
        <w:p w14:paraId="6CC7A250">
          <w:pPr>
            <w:pStyle w:val="27"/>
            <w:keepNext w:val="0"/>
            <w:keepLines w:val="0"/>
            <w:pageBreakBefore w:val="0"/>
            <w:widowControl w:val="0"/>
            <w:tabs>
              <w:tab w:val="right" w:leader="dot" w:pos="8306"/>
              <w:tab w:val="clear" w:pos="9344"/>
            </w:tabs>
            <w:kinsoku/>
            <w:wordWrap/>
            <w:overflowPunct/>
            <w:topLinePunct w:val="0"/>
            <w:autoSpaceDE/>
            <w:autoSpaceDN/>
            <w:bidi w:val="0"/>
            <w:adjustRightInd w:val="0"/>
            <w:snapToGrid/>
            <w:spacing w:line="360" w:lineRule="auto"/>
            <w:textAlignment w:val="auto"/>
          </w:pPr>
          <w:r>
            <w:fldChar w:fldCharType="begin"/>
          </w:r>
          <w:r>
            <w:instrText xml:space="preserve"> HYPERLINK \l _Toc32758 </w:instrText>
          </w:r>
          <w:r>
            <w:fldChar w:fldCharType="separate"/>
          </w:r>
          <w:r>
            <w:rPr>
              <w:rFonts w:hint="eastAsia"/>
              <w:szCs w:val="28"/>
              <w:lang w:val="en-US" w:eastAsia="zh-CN"/>
            </w:rPr>
            <w:t>（一）前期研究阶段</w:t>
          </w:r>
          <w:r>
            <w:tab/>
          </w:r>
          <w:r>
            <w:fldChar w:fldCharType="begin"/>
          </w:r>
          <w:r>
            <w:instrText xml:space="preserve"> PAGEREF _Toc32758 \h </w:instrText>
          </w:r>
          <w:r>
            <w:fldChar w:fldCharType="separate"/>
          </w:r>
          <w:r>
            <w:t>2</w:t>
          </w:r>
          <w:r>
            <w:fldChar w:fldCharType="end"/>
          </w:r>
          <w:r>
            <w:fldChar w:fldCharType="end"/>
          </w:r>
        </w:p>
        <w:p w14:paraId="395D3F8E">
          <w:pPr>
            <w:pStyle w:val="27"/>
            <w:keepNext w:val="0"/>
            <w:keepLines w:val="0"/>
            <w:pageBreakBefore w:val="0"/>
            <w:widowControl w:val="0"/>
            <w:tabs>
              <w:tab w:val="right" w:leader="dot" w:pos="8306"/>
              <w:tab w:val="clear" w:pos="9344"/>
            </w:tabs>
            <w:kinsoku/>
            <w:wordWrap/>
            <w:overflowPunct/>
            <w:topLinePunct w:val="0"/>
            <w:autoSpaceDE/>
            <w:autoSpaceDN/>
            <w:bidi w:val="0"/>
            <w:adjustRightInd w:val="0"/>
            <w:snapToGrid/>
            <w:spacing w:line="360" w:lineRule="auto"/>
            <w:textAlignment w:val="auto"/>
          </w:pPr>
          <w:r>
            <w:fldChar w:fldCharType="begin"/>
          </w:r>
          <w:r>
            <w:instrText xml:space="preserve"> HYPERLINK \l _Toc3122 </w:instrText>
          </w:r>
          <w:r>
            <w:fldChar w:fldCharType="separate"/>
          </w:r>
          <w:r>
            <w:rPr>
              <w:rFonts w:hint="eastAsia"/>
              <w:szCs w:val="28"/>
              <w:lang w:val="en-US" w:eastAsia="zh-CN"/>
            </w:rPr>
            <w:t>（二）立项阶段</w:t>
          </w:r>
          <w:r>
            <w:tab/>
          </w:r>
          <w:r>
            <w:fldChar w:fldCharType="begin"/>
          </w:r>
          <w:r>
            <w:instrText xml:space="preserve"> PAGEREF _Toc3122 \h </w:instrText>
          </w:r>
          <w:r>
            <w:fldChar w:fldCharType="separate"/>
          </w:r>
          <w:r>
            <w:t>2</w:t>
          </w:r>
          <w:r>
            <w:fldChar w:fldCharType="end"/>
          </w:r>
          <w:r>
            <w:fldChar w:fldCharType="end"/>
          </w:r>
        </w:p>
        <w:p w14:paraId="61E71025">
          <w:pPr>
            <w:pStyle w:val="27"/>
            <w:keepNext w:val="0"/>
            <w:keepLines w:val="0"/>
            <w:pageBreakBefore w:val="0"/>
            <w:widowControl w:val="0"/>
            <w:tabs>
              <w:tab w:val="right" w:leader="dot" w:pos="8306"/>
              <w:tab w:val="clear" w:pos="9344"/>
            </w:tabs>
            <w:kinsoku/>
            <w:wordWrap/>
            <w:overflowPunct/>
            <w:topLinePunct w:val="0"/>
            <w:autoSpaceDE/>
            <w:autoSpaceDN/>
            <w:bidi w:val="0"/>
            <w:adjustRightInd w:val="0"/>
            <w:snapToGrid/>
            <w:spacing w:line="360" w:lineRule="auto"/>
            <w:textAlignment w:val="auto"/>
          </w:pPr>
          <w:r>
            <w:fldChar w:fldCharType="begin"/>
          </w:r>
          <w:r>
            <w:instrText xml:space="preserve"> HYPERLINK \l _Toc15015 </w:instrText>
          </w:r>
          <w:r>
            <w:fldChar w:fldCharType="separate"/>
          </w:r>
          <w:r>
            <w:rPr>
              <w:rFonts w:hint="eastAsia"/>
              <w:szCs w:val="28"/>
              <w:lang w:val="en-US" w:eastAsia="zh-CN"/>
            </w:rPr>
            <w:t>（三）起草阶段</w:t>
          </w:r>
          <w:r>
            <w:tab/>
          </w:r>
          <w:r>
            <w:fldChar w:fldCharType="begin"/>
          </w:r>
          <w:r>
            <w:instrText xml:space="preserve"> PAGEREF _Toc15015 \h </w:instrText>
          </w:r>
          <w:r>
            <w:fldChar w:fldCharType="separate"/>
          </w:r>
          <w:r>
            <w:t>2</w:t>
          </w:r>
          <w:r>
            <w:fldChar w:fldCharType="end"/>
          </w:r>
          <w:r>
            <w:fldChar w:fldCharType="end"/>
          </w:r>
        </w:p>
        <w:p w14:paraId="5B13FDAB">
          <w:pPr>
            <w:pStyle w:val="22"/>
            <w:keepNext w:val="0"/>
            <w:keepLines w:val="0"/>
            <w:pageBreakBefore w:val="0"/>
            <w:widowControl w:val="0"/>
            <w:tabs>
              <w:tab w:val="right" w:leader="dot" w:pos="8306"/>
            </w:tabs>
            <w:kinsoku/>
            <w:wordWrap/>
            <w:overflowPunct/>
            <w:topLinePunct w:val="0"/>
            <w:autoSpaceDE/>
            <w:autoSpaceDN/>
            <w:bidi w:val="0"/>
            <w:adjustRightInd w:val="0"/>
            <w:snapToGrid/>
            <w:spacing w:line="360" w:lineRule="auto"/>
            <w:textAlignment w:val="auto"/>
          </w:pPr>
          <w:r>
            <w:fldChar w:fldCharType="begin"/>
          </w:r>
          <w:r>
            <w:instrText xml:space="preserve"> HYPERLINK \l _Toc20022 </w:instrText>
          </w:r>
          <w:r>
            <w:fldChar w:fldCharType="separate"/>
          </w:r>
          <w:r>
            <w:rPr>
              <w:rFonts w:hint="eastAsia"/>
              <w:szCs w:val="28"/>
              <w:lang w:val="en-US" w:eastAsia="zh-CN"/>
            </w:rPr>
            <w:t>三、编制思路、主要技术内容、指标、参数、试验方法确定的依据</w:t>
          </w:r>
          <w:r>
            <w:tab/>
          </w:r>
          <w:r>
            <w:fldChar w:fldCharType="begin"/>
          </w:r>
          <w:r>
            <w:instrText xml:space="preserve"> PAGEREF _Toc20022 \h </w:instrText>
          </w:r>
          <w:r>
            <w:fldChar w:fldCharType="separate"/>
          </w:r>
          <w:r>
            <w:t>2</w:t>
          </w:r>
          <w:r>
            <w:fldChar w:fldCharType="end"/>
          </w:r>
          <w:r>
            <w:fldChar w:fldCharType="end"/>
          </w:r>
        </w:p>
        <w:p w14:paraId="6717800D">
          <w:pPr>
            <w:pStyle w:val="27"/>
            <w:keepNext w:val="0"/>
            <w:keepLines w:val="0"/>
            <w:pageBreakBefore w:val="0"/>
            <w:widowControl w:val="0"/>
            <w:tabs>
              <w:tab w:val="right" w:leader="dot" w:pos="8306"/>
              <w:tab w:val="clear" w:pos="9344"/>
            </w:tabs>
            <w:kinsoku/>
            <w:wordWrap/>
            <w:overflowPunct/>
            <w:topLinePunct w:val="0"/>
            <w:autoSpaceDE/>
            <w:autoSpaceDN/>
            <w:bidi w:val="0"/>
            <w:adjustRightInd w:val="0"/>
            <w:snapToGrid/>
            <w:spacing w:line="360" w:lineRule="auto"/>
            <w:textAlignment w:val="auto"/>
          </w:pPr>
          <w:r>
            <w:fldChar w:fldCharType="begin"/>
          </w:r>
          <w:r>
            <w:instrText xml:space="preserve"> HYPERLINK \l _Toc11633 </w:instrText>
          </w:r>
          <w:r>
            <w:fldChar w:fldCharType="separate"/>
          </w:r>
          <w:r>
            <w:rPr>
              <w:rFonts w:hint="eastAsia"/>
              <w:szCs w:val="28"/>
              <w:lang w:val="en-US" w:eastAsia="zh-CN"/>
            </w:rPr>
            <w:t>（一）编制思路</w:t>
          </w:r>
          <w:r>
            <w:tab/>
          </w:r>
          <w:r>
            <w:fldChar w:fldCharType="begin"/>
          </w:r>
          <w:r>
            <w:instrText xml:space="preserve"> PAGEREF _Toc11633 \h </w:instrText>
          </w:r>
          <w:r>
            <w:fldChar w:fldCharType="separate"/>
          </w:r>
          <w:r>
            <w:t>2</w:t>
          </w:r>
          <w:r>
            <w:fldChar w:fldCharType="end"/>
          </w:r>
          <w:r>
            <w:fldChar w:fldCharType="end"/>
          </w:r>
        </w:p>
        <w:p w14:paraId="41A3F55C">
          <w:pPr>
            <w:pStyle w:val="27"/>
            <w:keepNext w:val="0"/>
            <w:keepLines w:val="0"/>
            <w:pageBreakBefore w:val="0"/>
            <w:widowControl w:val="0"/>
            <w:tabs>
              <w:tab w:val="right" w:leader="dot" w:pos="8306"/>
              <w:tab w:val="clear" w:pos="9344"/>
            </w:tabs>
            <w:kinsoku/>
            <w:wordWrap/>
            <w:overflowPunct/>
            <w:topLinePunct w:val="0"/>
            <w:autoSpaceDE/>
            <w:autoSpaceDN/>
            <w:bidi w:val="0"/>
            <w:adjustRightInd w:val="0"/>
            <w:snapToGrid/>
            <w:spacing w:line="360" w:lineRule="auto"/>
            <w:textAlignment w:val="auto"/>
          </w:pPr>
          <w:r>
            <w:fldChar w:fldCharType="begin"/>
          </w:r>
          <w:r>
            <w:instrText xml:space="preserve"> HYPERLINK \l _Toc7677 </w:instrText>
          </w:r>
          <w:r>
            <w:fldChar w:fldCharType="separate"/>
          </w:r>
          <w:r>
            <w:rPr>
              <w:rFonts w:hint="eastAsia"/>
              <w:szCs w:val="28"/>
              <w:lang w:val="en-US" w:eastAsia="zh-CN"/>
            </w:rPr>
            <w:t>（二）主要内容</w:t>
          </w:r>
          <w:r>
            <w:tab/>
          </w:r>
          <w:r>
            <w:fldChar w:fldCharType="begin"/>
          </w:r>
          <w:r>
            <w:instrText xml:space="preserve"> PAGEREF _Toc7677 \h </w:instrText>
          </w:r>
          <w:r>
            <w:fldChar w:fldCharType="separate"/>
          </w:r>
          <w:r>
            <w:t>3</w:t>
          </w:r>
          <w:r>
            <w:fldChar w:fldCharType="end"/>
          </w:r>
          <w:r>
            <w:fldChar w:fldCharType="end"/>
          </w:r>
        </w:p>
        <w:p w14:paraId="4F9B0F31">
          <w:pPr>
            <w:pStyle w:val="27"/>
            <w:keepNext w:val="0"/>
            <w:keepLines w:val="0"/>
            <w:pageBreakBefore w:val="0"/>
            <w:widowControl w:val="0"/>
            <w:tabs>
              <w:tab w:val="right" w:leader="dot" w:pos="8306"/>
              <w:tab w:val="clear" w:pos="9344"/>
            </w:tabs>
            <w:kinsoku/>
            <w:wordWrap/>
            <w:overflowPunct/>
            <w:topLinePunct w:val="0"/>
            <w:autoSpaceDE/>
            <w:autoSpaceDN/>
            <w:bidi w:val="0"/>
            <w:adjustRightInd w:val="0"/>
            <w:snapToGrid/>
            <w:spacing w:line="360" w:lineRule="auto"/>
            <w:textAlignment w:val="auto"/>
          </w:pPr>
          <w:r>
            <w:fldChar w:fldCharType="begin"/>
          </w:r>
          <w:r>
            <w:instrText xml:space="preserve"> HYPERLINK \l _Toc19920 </w:instrText>
          </w:r>
          <w:r>
            <w:fldChar w:fldCharType="separate"/>
          </w:r>
          <w:r>
            <w:rPr>
              <w:rFonts w:hint="eastAsia" w:ascii="宋体" w:hAnsi="宋体" w:cs="宋体"/>
              <w:szCs w:val="28"/>
              <w:lang w:val="en-US" w:eastAsia="zh-CN"/>
            </w:rPr>
            <w:t>（三）</w:t>
          </w:r>
          <w:r>
            <w:rPr>
              <w:rFonts w:hint="eastAsia" w:ascii="宋体" w:hAnsi="宋体" w:eastAsia="宋体" w:cs="宋体"/>
              <w:szCs w:val="28"/>
              <w:lang w:val="en-US" w:eastAsia="zh-CN"/>
            </w:rPr>
            <w:t>确定依据</w:t>
          </w:r>
          <w:r>
            <w:tab/>
          </w:r>
          <w:r>
            <w:fldChar w:fldCharType="begin"/>
          </w:r>
          <w:r>
            <w:instrText xml:space="preserve"> PAGEREF _Toc19920 \h </w:instrText>
          </w:r>
          <w:r>
            <w:fldChar w:fldCharType="separate"/>
          </w:r>
          <w:r>
            <w:t>5</w:t>
          </w:r>
          <w:r>
            <w:fldChar w:fldCharType="end"/>
          </w:r>
          <w:r>
            <w:fldChar w:fldCharType="end"/>
          </w:r>
        </w:p>
        <w:p w14:paraId="5CBAD68B">
          <w:pPr>
            <w:pStyle w:val="22"/>
            <w:keepNext w:val="0"/>
            <w:keepLines w:val="0"/>
            <w:pageBreakBefore w:val="0"/>
            <w:widowControl w:val="0"/>
            <w:tabs>
              <w:tab w:val="right" w:leader="dot" w:pos="8306"/>
            </w:tabs>
            <w:kinsoku/>
            <w:wordWrap/>
            <w:overflowPunct/>
            <w:topLinePunct w:val="0"/>
            <w:autoSpaceDE/>
            <w:autoSpaceDN/>
            <w:bidi w:val="0"/>
            <w:adjustRightInd w:val="0"/>
            <w:snapToGrid/>
            <w:spacing w:line="360" w:lineRule="auto"/>
            <w:textAlignment w:val="auto"/>
          </w:pPr>
          <w:r>
            <w:fldChar w:fldCharType="begin"/>
          </w:r>
          <w:r>
            <w:instrText xml:space="preserve"> HYPERLINK \l _Toc30047 </w:instrText>
          </w:r>
          <w:r>
            <w:fldChar w:fldCharType="separate"/>
          </w:r>
          <w:r>
            <w:rPr>
              <w:rFonts w:hint="eastAsia"/>
              <w:szCs w:val="28"/>
              <w:lang w:val="en-US" w:eastAsia="zh-CN"/>
            </w:rPr>
            <w:t>四、主要实验（验证）的分析、综述报告、技术经济论证，预期的经济效果</w:t>
          </w:r>
          <w:r>
            <w:tab/>
          </w:r>
          <w:r>
            <w:fldChar w:fldCharType="begin"/>
          </w:r>
          <w:r>
            <w:instrText xml:space="preserve"> PAGEREF _Toc30047 \h </w:instrText>
          </w:r>
          <w:r>
            <w:fldChar w:fldCharType="separate"/>
          </w:r>
          <w:r>
            <w:t>5</w:t>
          </w:r>
          <w:r>
            <w:fldChar w:fldCharType="end"/>
          </w:r>
          <w:r>
            <w:fldChar w:fldCharType="end"/>
          </w:r>
        </w:p>
        <w:p w14:paraId="0E180345">
          <w:pPr>
            <w:pStyle w:val="22"/>
            <w:keepNext w:val="0"/>
            <w:keepLines w:val="0"/>
            <w:pageBreakBefore w:val="0"/>
            <w:widowControl w:val="0"/>
            <w:tabs>
              <w:tab w:val="right" w:leader="dot" w:pos="8306"/>
            </w:tabs>
            <w:kinsoku/>
            <w:wordWrap/>
            <w:overflowPunct/>
            <w:topLinePunct w:val="0"/>
            <w:autoSpaceDE/>
            <w:autoSpaceDN/>
            <w:bidi w:val="0"/>
            <w:adjustRightInd w:val="0"/>
            <w:snapToGrid/>
            <w:spacing w:line="360" w:lineRule="auto"/>
            <w:textAlignment w:val="auto"/>
          </w:pPr>
          <w:r>
            <w:fldChar w:fldCharType="begin"/>
          </w:r>
          <w:r>
            <w:instrText xml:space="preserve"> HYPERLINK \l _Toc26443 </w:instrText>
          </w:r>
          <w:r>
            <w:fldChar w:fldCharType="separate"/>
          </w:r>
          <w:r>
            <w:rPr>
              <w:rFonts w:hint="eastAsia"/>
              <w:szCs w:val="28"/>
              <w:lang w:val="en-US" w:eastAsia="zh-CN"/>
            </w:rPr>
            <w:t>五、采用国际标准的程度及水平的简要说明</w:t>
          </w:r>
          <w:r>
            <w:tab/>
          </w:r>
          <w:r>
            <w:fldChar w:fldCharType="begin"/>
          </w:r>
          <w:r>
            <w:instrText xml:space="preserve"> PAGEREF _Toc26443 \h </w:instrText>
          </w:r>
          <w:r>
            <w:fldChar w:fldCharType="separate"/>
          </w:r>
          <w:r>
            <w:t>6</w:t>
          </w:r>
          <w:r>
            <w:fldChar w:fldCharType="end"/>
          </w:r>
          <w:r>
            <w:fldChar w:fldCharType="end"/>
          </w:r>
        </w:p>
        <w:p w14:paraId="77D30E17">
          <w:pPr>
            <w:pStyle w:val="27"/>
            <w:keepNext w:val="0"/>
            <w:keepLines w:val="0"/>
            <w:pageBreakBefore w:val="0"/>
            <w:widowControl w:val="0"/>
            <w:tabs>
              <w:tab w:val="right" w:leader="dot" w:pos="8306"/>
              <w:tab w:val="clear" w:pos="9344"/>
            </w:tabs>
            <w:kinsoku/>
            <w:wordWrap/>
            <w:overflowPunct/>
            <w:topLinePunct w:val="0"/>
            <w:autoSpaceDE/>
            <w:autoSpaceDN/>
            <w:bidi w:val="0"/>
            <w:adjustRightInd w:val="0"/>
            <w:snapToGrid/>
            <w:spacing w:line="360" w:lineRule="auto"/>
            <w:textAlignment w:val="auto"/>
          </w:pPr>
          <w:r>
            <w:fldChar w:fldCharType="begin"/>
          </w:r>
          <w:r>
            <w:instrText xml:space="preserve"> HYPERLINK \l _Toc28332 </w:instrText>
          </w:r>
          <w:r>
            <w:fldChar w:fldCharType="separate"/>
          </w:r>
          <w:r>
            <w:rPr>
              <w:rFonts w:hint="eastAsia"/>
              <w:szCs w:val="28"/>
              <w:lang w:val="en-US" w:eastAsia="zh-CN"/>
            </w:rPr>
            <w:t>（一）采用国际标准的程度</w:t>
          </w:r>
          <w:r>
            <w:tab/>
          </w:r>
          <w:r>
            <w:fldChar w:fldCharType="begin"/>
          </w:r>
          <w:r>
            <w:instrText xml:space="preserve"> PAGEREF _Toc28332 \h </w:instrText>
          </w:r>
          <w:r>
            <w:fldChar w:fldCharType="separate"/>
          </w:r>
          <w:r>
            <w:t>6</w:t>
          </w:r>
          <w:r>
            <w:fldChar w:fldCharType="end"/>
          </w:r>
          <w:r>
            <w:fldChar w:fldCharType="end"/>
          </w:r>
        </w:p>
        <w:p w14:paraId="123B466D">
          <w:pPr>
            <w:pStyle w:val="27"/>
            <w:keepNext w:val="0"/>
            <w:keepLines w:val="0"/>
            <w:pageBreakBefore w:val="0"/>
            <w:widowControl w:val="0"/>
            <w:tabs>
              <w:tab w:val="right" w:leader="dot" w:pos="8306"/>
              <w:tab w:val="clear" w:pos="9344"/>
            </w:tabs>
            <w:kinsoku/>
            <w:wordWrap/>
            <w:overflowPunct/>
            <w:topLinePunct w:val="0"/>
            <w:autoSpaceDE/>
            <w:autoSpaceDN/>
            <w:bidi w:val="0"/>
            <w:adjustRightInd w:val="0"/>
            <w:snapToGrid/>
            <w:spacing w:line="360" w:lineRule="auto"/>
            <w:textAlignment w:val="auto"/>
          </w:pPr>
          <w:r>
            <w:fldChar w:fldCharType="begin"/>
          </w:r>
          <w:r>
            <w:instrText xml:space="preserve"> HYPERLINK \l _Toc15434 </w:instrText>
          </w:r>
          <w:r>
            <w:fldChar w:fldCharType="separate"/>
          </w:r>
          <w:r>
            <w:rPr>
              <w:rFonts w:hint="eastAsia"/>
              <w:szCs w:val="28"/>
              <w:lang w:val="en-US" w:eastAsia="zh-CN"/>
            </w:rPr>
            <w:t>（二）与国际标准水平的对比</w:t>
          </w:r>
          <w:r>
            <w:tab/>
          </w:r>
          <w:r>
            <w:fldChar w:fldCharType="begin"/>
          </w:r>
          <w:r>
            <w:instrText xml:space="preserve"> PAGEREF _Toc15434 \h </w:instrText>
          </w:r>
          <w:r>
            <w:fldChar w:fldCharType="separate"/>
          </w:r>
          <w:r>
            <w:t>6</w:t>
          </w:r>
          <w:r>
            <w:fldChar w:fldCharType="end"/>
          </w:r>
          <w:r>
            <w:fldChar w:fldCharType="end"/>
          </w:r>
        </w:p>
        <w:p w14:paraId="501B455F">
          <w:pPr>
            <w:pStyle w:val="27"/>
            <w:keepNext w:val="0"/>
            <w:keepLines w:val="0"/>
            <w:pageBreakBefore w:val="0"/>
            <w:widowControl w:val="0"/>
            <w:tabs>
              <w:tab w:val="right" w:leader="dot" w:pos="8306"/>
              <w:tab w:val="clear" w:pos="9344"/>
            </w:tabs>
            <w:kinsoku/>
            <w:wordWrap/>
            <w:overflowPunct/>
            <w:topLinePunct w:val="0"/>
            <w:autoSpaceDE/>
            <w:autoSpaceDN/>
            <w:bidi w:val="0"/>
            <w:adjustRightInd w:val="0"/>
            <w:snapToGrid/>
            <w:spacing w:line="360" w:lineRule="auto"/>
            <w:textAlignment w:val="auto"/>
          </w:pPr>
          <w:r>
            <w:fldChar w:fldCharType="begin"/>
          </w:r>
          <w:r>
            <w:instrText xml:space="preserve"> HYPERLINK \l _Toc30365 </w:instrText>
          </w:r>
          <w:r>
            <w:fldChar w:fldCharType="separate"/>
          </w:r>
          <w:r>
            <w:rPr>
              <w:rFonts w:hint="eastAsia"/>
              <w:szCs w:val="28"/>
              <w:lang w:val="en-US" w:eastAsia="zh-CN"/>
            </w:rPr>
            <w:t>（三）结论</w:t>
          </w:r>
          <w:r>
            <w:tab/>
          </w:r>
          <w:r>
            <w:fldChar w:fldCharType="begin"/>
          </w:r>
          <w:r>
            <w:instrText xml:space="preserve"> PAGEREF _Toc30365 \h </w:instrText>
          </w:r>
          <w:r>
            <w:fldChar w:fldCharType="separate"/>
          </w:r>
          <w:r>
            <w:t>6</w:t>
          </w:r>
          <w:r>
            <w:fldChar w:fldCharType="end"/>
          </w:r>
          <w:r>
            <w:fldChar w:fldCharType="end"/>
          </w:r>
        </w:p>
        <w:p w14:paraId="3A79F7E8">
          <w:pPr>
            <w:pStyle w:val="22"/>
            <w:keepNext w:val="0"/>
            <w:keepLines w:val="0"/>
            <w:pageBreakBefore w:val="0"/>
            <w:widowControl w:val="0"/>
            <w:tabs>
              <w:tab w:val="right" w:leader="dot" w:pos="8306"/>
            </w:tabs>
            <w:kinsoku/>
            <w:wordWrap/>
            <w:overflowPunct/>
            <w:topLinePunct w:val="0"/>
            <w:autoSpaceDE/>
            <w:autoSpaceDN/>
            <w:bidi w:val="0"/>
            <w:adjustRightInd w:val="0"/>
            <w:snapToGrid/>
            <w:spacing w:line="360" w:lineRule="auto"/>
            <w:textAlignment w:val="auto"/>
          </w:pPr>
          <w:r>
            <w:fldChar w:fldCharType="begin"/>
          </w:r>
          <w:r>
            <w:instrText xml:space="preserve"> HYPERLINK \l _Toc13004 </w:instrText>
          </w:r>
          <w:r>
            <w:fldChar w:fldCharType="separate"/>
          </w:r>
          <w:r>
            <w:rPr>
              <w:rFonts w:hint="eastAsia"/>
              <w:szCs w:val="28"/>
              <w:lang w:val="en-US" w:eastAsia="zh-CN"/>
            </w:rPr>
            <w:t>六、重大分歧意见处理经过和依据</w:t>
          </w:r>
          <w:r>
            <w:tab/>
          </w:r>
          <w:r>
            <w:fldChar w:fldCharType="begin"/>
          </w:r>
          <w:r>
            <w:instrText xml:space="preserve"> PAGEREF _Toc13004 \h </w:instrText>
          </w:r>
          <w:r>
            <w:fldChar w:fldCharType="separate"/>
          </w:r>
          <w:r>
            <w:t>7</w:t>
          </w:r>
          <w:r>
            <w:fldChar w:fldCharType="end"/>
          </w:r>
          <w:r>
            <w:fldChar w:fldCharType="end"/>
          </w:r>
        </w:p>
        <w:p w14:paraId="2C376C9F">
          <w:pPr>
            <w:pStyle w:val="22"/>
            <w:keepNext w:val="0"/>
            <w:keepLines w:val="0"/>
            <w:pageBreakBefore w:val="0"/>
            <w:widowControl w:val="0"/>
            <w:tabs>
              <w:tab w:val="right" w:leader="dot" w:pos="8306"/>
            </w:tabs>
            <w:kinsoku/>
            <w:wordWrap/>
            <w:overflowPunct/>
            <w:topLinePunct w:val="0"/>
            <w:autoSpaceDE/>
            <w:autoSpaceDN/>
            <w:bidi w:val="0"/>
            <w:adjustRightInd w:val="0"/>
            <w:snapToGrid/>
            <w:spacing w:line="360" w:lineRule="auto"/>
            <w:textAlignment w:val="auto"/>
          </w:pPr>
          <w:r>
            <w:fldChar w:fldCharType="begin"/>
          </w:r>
          <w:r>
            <w:instrText xml:space="preserve"> HYPERLINK \l _Toc32439 </w:instrText>
          </w:r>
          <w:r>
            <w:fldChar w:fldCharType="separate"/>
          </w:r>
          <w:r>
            <w:rPr>
              <w:rFonts w:hint="eastAsia"/>
              <w:szCs w:val="28"/>
              <w:lang w:val="en-US" w:eastAsia="zh-CN"/>
            </w:rPr>
            <w:t>七、贯彻中国煤炭学会要求和措施建议</w:t>
          </w:r>
          <w:r>
            <w:tab/>
          </w:r>
          <w:r>
            <w:fldChar w:fldCharType="begin"/>
          </w:r>
          <w:r>
            <w:instrText xml:space="preserve"> PAGEREF _Toc32439 \h </w:instrText>
          </w:r>
          <w:r>
            <w:fldChar w:fldCharType="separate"/>
          </w:r>
          <w:r>
            <w:t>7</w:t>
          </w:r>
          <w:r>
            <w:fldChar w:fldCharType="end"/>
          </w:r>
          <w:r>
            <w:fldChar w:fldCharType="end"/>
          </w:r>
        </w:p>
        <w:p w14:paraId="36620D17">
          <w:pPr>
            <w:pStyle w:val="22"/>
            <w:keepNext w:val="0"/>
            <w:keepLines w:val="0"/>
            <w:pageBreakBefore w:val="0"/>
            <w:widowControl w:val="0"/>
            <w:tabs>
              <w:tab w:val="right" w:leader="dot" w:pos="8306"/>
            </w:tabs>
            <w:kinsoku/>
            <w:wordWrap/>
            <w:overflowPunct/>
            <w:topLinePunct w:val="0"/>
            <w:autoSpaceDE/>
            <w:autoSpaceDN/>
            <w:bidi w:val="0"/>
            <w:adjustRightInd w:val="0"/>
            <w:snapToGrid/>
            <w:spacing w:line="360" w:lineRule="auto"/>
            <w:textAlignment w:val="auto"/>
          </w:pPr>
          <w:r>
            <w:fldChar w:fldCharType="begin"/>
          </w:r>
          <w:r>
            <w:instrText xml:space="preserve"> HYPERLINK \l _Toc5052 </w:instrText>
          </w:r>
          <w:r>
            <w:fldChar w:fldCharType="separate"/>
          </w:r>
          <w:r>
            <w:rPr>
              <w:rFonts w:hint="eastAsia"/>
              <w:szCs w:val="28"/>
              <w:lang w:val="en-US" w:eastAsia="zh-CN"/>
            </w:rPr>
            <w:t>八、其他应予说明的事项</w:t>
          </w:r>
          <w:r>
            <w:tab/>
          </w:r>
          <w:r>
            <w:fldChar w:fldCharType="begin"/>
          </w:r>
          <w:r>
            <w:instrText xml:space="preserve"> PAGEREF _Toc5052 \h </w:instrText>
          </w:r>
          <w:r>
            <w:fldChar w:fldCharType="separate"/>
          </w:r>
          <w:r>
            <w:t>7</w:t>
          </w:r>
          <w:r>
            <w:fldChar w:fldCharType="end"/>
          </w:r>
          <w:r>
            <w:fldChar w:fldCharType="end"/>
          </w:r>
        </w:p>
        <w:p w14:paraId="16B03EE8">
          <w:r>
            <w:fldChar w:fldCharType="end"/>
          </w:r>
        </w:p>
      </w:sdtContent>
    </w:sdt>
    <w:p w14:paraId="7A51ED47">
      <w:pPr>
        <w:pStyle w:val="2"/>
        <w:numPr>
          <w:ilvl w:val="0"/>
          <w:numId w:val="32"/>
        </w:numPr>
        <w:bidi w:val="0"/>
        <w:spacing w:line="240" w:lineRule="auto"/>
        <w:ind w:leftChars="0"/>
        <w:rPr>
          <w:rFonts w:hint="eastAsia"/>
          <w:b/>
          <w:bCs w:val="0"/>
          <w:lang w:val="en-US" w:eastAsia="zh-CN"/>
        </w:rPr>
        <w:sectPr>
          <w:pgSz w:w="11906" w:h="16838"/>
          <w:pgMar w:top="1440" w:right="1800" w:bottom="1440" w:left="1800" w:header="851" w:footer="992" w:gutter="0"/>
          <w:pgNumType w:fmt="decimal"/>
          <w:cols w:space="0" w:num="1"/>
          <w:rtlGutter w:val="0"/>
          <w:docGrid w:type="lines" w:linePitch="382" w:charSpace="0"/>
        </w:sectPr>
      </w:pPr>
      <w:bookmarkStart w:id="0" w:name="_Toc3159"/>
    </w:p>
    <w:p w14:paraId="39A930C4">
      <w:pPr>
        <w:pStyle w:val="2"/>
        <w:numPr>
          <w:ilvl w:val="0"/>
          <w:numId w:val="32"/>
        </w:numPr>
        <w:bidi w:val="0"/>
        <w:spacing w:line="240" w:lineRule="auto"/>
        <w:ind w:leftChars="0"/>
        <w:rPr>
          <w:rFonts w:hint="eastAsia"/>
          <w:b/>
          <w:bCs w:val="0"/>
          <w:lang w:val="en-US" w:eastAsia="zh-CN"/>
        </w:rPr>
      </w:pPr>
      <w:r>
        <w:rPr>
          <w:rFonts w:hint="eastAsia"/>
          <w:b/>
          <w:bCs w:val="0"/>
          <w:sz w:val="28"/>
          <w:szCs w:val="28"/>
          <w:lang w:val="en-US" w:eastAsia="zh-CN"/>
        </w:rPr>
        <w:t>工作简况</w:t>
      </w:r>
      <w:bookmarkEnd w:id="0"/>
    </w:p>
    <w:p w14:paraId="7E0ED7AB">
      <w:pPr>
        <w:pStyle w:val="5"/>
        <w:numPr>
          <w:ilvl w:val="2"/>
          <w:numId w:val="0"/>
        </w:numPr>
        <w:bidi w:val="0"/>
        <w:spacing w:line="240" w:lineRule="auto"/>
        <w:ind w:leftChars="0" w:firstLine="840" w:firstLineChars="300"/>
        <w:rPr>
          <w:rFonts w:hint="eastAsia"/>
          <w:sz w:val="28"/>
          <w:szCs w:val="28"/>
          <w:lang w:val="en-US" w:eastAsia="zh-CN"/>
        </w:rPr>
      </w:pPr>
      <w:bookmarkStart w:id="1" w:name="_Toc18128"/>
      <w:r>
        <w:rPr>
          <w:rFonts w:hint="eastAsia"/>
          <w:sz w:val="28"/>
          <w:szCs w:val="28"/>
          <w:lang w:val="en-US" w:eastAsia="zh-CN"/>
        </w:rPr>
        <w:t>（一）工作来源</w:t>
      </w:r>
      <w:bookmarkEnd w:id="1"/>
    </w:p>
    <w:p w14:paraId="0B4D1632">
      <w:pPr>
        <w:pStyle w:val="4"/>
        <w:bidi w:val="0"/>
        <w:rPr>
          <w:rFonts w:hint="eastAsia"/>
          <w:lang w:val="en-US" w:eastAsia="zh-CN"/>
        </w:rPr>
      </w:pPr>
      <w:r>
        <w:rPr>
          <w:rFonts w:hint="eastAsia"/>
          <w:lang w:val="en-US" w:eastAsia="zh-CN"/>
        </w:rPr>
        <w:t>《煤矿井下充电换能站用动力电池技术规范》由神东煤炭集团上湾煤矿委托与中央高校基本科研业务费资助（项目编号3142024031）华北科技学院牵头制订。</w:t>
      </w:r>
    </w:p>
    <w:p w14:paraId="6D3B2011">
      <w:pPr>
        <w:pStyle w:val="4"/>
        <w:bidi w:val="0"/>
        <w:rPr>
          <w:rFonts w:hint="eastAsia"/>
          <w:lang w:val="en-US" w:eastAsia="zh-CN"/>
        </w:rPr>
      </w:pPr>
      <w:r>
        <w:rPr>
          <w:rFonts w:hint="eastAsia"/>
          <w:lang w:val="en-US" w:eastAsia="zh-CN"/>
        </w:rPr>
        <w:t>本标准已经列入《2023年度中国煤炭学会团体标准制定计划》，标准项目编号：t/ccs2023016，标准项目名称：《煤矿井下充电换能站用动力电池技术规范》，标准层级：团体标准，标准性质：推荐性质。</w:t>
      </w:r>
    </w:p>
    <w:p w14:paraId="6F45E33E">
      <w:pPr>
        <w:pStyle w:val="4"/>
        <w:bidi w:val="0"/>
        <w:rPr>
          <w:rFonts w:hint="eastAsia"/>
          <w:lang w:val="en-US" w:eastAsia="zh-CN"/>
        </w:rPr>
      </w:pPr>
      <w:r>
        <w:rPr>
          <w:rFonts w:hint="eastAsia"/>
          <w:lang w:val="en-US" w:eastAsia="zh-CN"/>
        </w:rPr>
        <w:t>该团体标准的推广应用，为建设煤矿井下电动运输车辆智能化充电换能站硐室奠定坚实的基础。随着后续相关团体标准的逐步建设和完善，为煤矿井下充电换能站用动力电池的具体技术要求和安全性能的测试方法、接口要求规范、提供了完整可靠的参考，本标准的建设起到了引领行业的模范示范效应。</w:t>
      </w:r>
    </w:p>
    <w:p w14:paraId="5084C7AC">
      <w:pPr>
        <w:pStyle w:val="5"/>
        <w:numPr>
          <w:ilvl w:val="2"/>
          <w:numId w:val="0"/>
        </w:numPr>
        <w:bidi w:val="0"/>
        <w:spacing w:line="240" w:lineRule="auto"/>
        <w:ind w:firstLine="560" w:firstLineChars="200"/>
        <w:rPr>
          <w:rFonts w:hint="eastAsia"/>
          <w:sz w:val="28"/>
          <w:szCs w:val="28"/>
          <w:lang w:val="en-US" w:eastAsia="zh-CN"/>
        </w:rPr>
      </w:pPr>
      <w:bookmarkStart w:id="2" w:name="_Toc14872"/>
      <w:r>
        <w:rPr>
          <w:rFonts w:hint="eastAsia"/>
          <w:sz w:val="28"/>
          <w:szCs w:val="28"/>
          <w:lang w:val="en-US" w:eastAsia="zh-CN"/>
        </w:rPr>
        <w:t>（二）主要起草单位</w:t>
      </w:r>
      <w:bookmarkEnd w:id="2"/>
    </w:p>
    <w:p w14:paraId="13F7BDBC">
      <w:pPr>
        <w:pStyle w:val="4"/>
        <w:numPr>
          <w:ilvl w:val="0"/>
          <w:numId w:val="0"/>
        </w:numPr>
        <w:ind w:leftChars="0"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color w:val="000000" w:themeColor="text1"/>
          <w:lang w:eastAsia="zh-CN"/>
          <w14:textFill>
            <w14:solidFill>
              <w14:schemeClr w14:val="tx1"/>
            </w14:solidFill>
          </w14:textFill>
        </w:rPr>
        <w:t>华北科技学院</w:t>
      </w:r>
      <w:r>
        <w:rPr>
          <w:rFonts w:hint="eastAsia"/>
          <w:color w:val="000000" w:themeColor="text1"/>
          <w14:textFill>
            <w14:solidFill>
              <w14:schemeClr w14:val="tx1"/>
            </w14:solidFill>
          </w14:textFill>
        </w:rPr>
        <w:t>、国能神东煤炭集团有限责任公司</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安标国家矿用产品安全标志中心有限公司、中国煤炭科学研究总院</w:t>
      </w:r>
      <w:r>
        <w:rPr>
          <w:rFonts w:hint="eastAsia"/>
          <w:color w:val="000000" w:themeColor="text1"/>
          <w:lang w:eastAsia="zh-CN"/>
          <w14:textFill>
            <w14:solidFill>
              <w14:schemeClr w14:val="tx1"/>
            </w14:solidFill>
          </w14:textFill>
        </w:rPr>
        <w:t>、</w:t>
      </w:r>
      <w:r>
        <w:rPr>
          <w:rFonts w:hint="eastAsia"/>
          <w:color w:val="auto"/>
        </w:rPr>
        <w:t>深圳市德塔工业智能电动汽车有限公司、常州科研试制中心有限公司、航天重工集团武汉研究院</w:t>
      </w:r>
      <w:r>
        <w:rPr>
          <w:rFonts w:hint="eastAsia" w:ascii="宋体" w:hAnsi="宋体" w:eastAsia="宋体" w:cs="宋体"/>
          <w:color w:val="auto"/>
          <w:sz w:val="28"/>
          <w:szCs w:val="28"/>
        </w:rPr>
        <w:t>。</w:t>
      </w:r>
    </w:p>
    <w:p w14:paraId="322D7EEF">
      <w:pPr>
        <w:pStyle w:val="5"/>
        <w:numPr>
          <w:ilvl w:val="2"/>
          <w:numId w:val="0"/>
        </w:numPr>
        <w:bidi w:val="0"/>
        <w:spacing w:line="240" w:lineRule="auto"/>
        <w:ind w:leftChars="0" w:firstLine="560" w:firstLineChars="200"/>
        <w:rPr>
          <w:rFonts w:hint="eastAsia"/>
          <w:sz w:val="28"/>
          <w:szCs w:val="28"/>
          <w:lang w:val="en-US" w:eastAsia="zh-CN"/>
        </w:rPr>
      </w:pPr>
      <w:bookmarkStart w:id="3" w:name="_Toc5722"/>
      <w:r>
        <w:rPr>
          <w:rFonts w:hint="eastAsia"/>
          <w:sz w:val="28"/>
          <w:szCs w:val="28"/>
          <w:lang w:val="en-US" w:eastAsia="zh-CN"/>
        </w:rPr>
        <w:t>（三）主要起草人</w:t>
      </w:r>
      <w:bookmarkEnd w:id="3"/>
    </w:p>
    <w:p w14:paraId="7C4F85DD">
      <w:pPr>
        <w:pStyle w:val="4"/>
        <w:numPr>
          <w:ilvl w:val="0"/>
          <w:numId w:val="0"/>
        </w:numPr>
        <w:ind w:leftChars="0" w:firstLine="560" w:firstLineChars="20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张全柱、张志强</w:t>
      </w:r>
      <w:r>
        <w:rPr>
          <w:rFonts w:hint="eastAsia" w:cs="宋体"/>
          <w:sz w:val="28"/>
          <w:szCs w:val="28"/>
          <w:lang w:val="en-US" w:eastAsia="zh-CN"/>
        </w:rPr>
        <w:t>、</w:t>
      </w:r>
      <w:r>
        <w:rPr>
          <w:rFonts w:hint="eastAsia" w:ascii="宋体" w:hAnsi="宋体" w:eastAsia="宋体" w:cs="宋体"/>
          <w:sz w:val="28"/>
          <w:szCs w:val="28"/>
          <w:lang w:val="en-US" w:eastAsia="zh-CN"/>
        </w:rPr>
        <w:t xml:space="preserve">邓永红 </w:t>
      </w:r>
    </w:p>
    <w:p w14:paraId="5686A26E">
      <w:pPr>
        <w:pStyle w:val="4"/>
        <w:numPr>
          <w:ilvl w:val="0"/>
          <w:numId w:val="0"/>
        </w:numPr>
        <w:ind w:firstLine="560" w:firstLineChars="200"/>
        <w:rPr>
          <w:rFonts w:hint="eastAsia" w:ascii="宋体" w:hAnsi="宋体" w:eastAsia="宋体" w:cs="宋体"/>
          <w:sz w:val="28"/>
          <w:szCs w:val="28"/>
          <w:lang w:val="en-US" w:eastAsia="zh-CN"/>
        </w:rPr>
      </w:pPr>
      <w:r>
        <w:rPr>
          <w:rFonts w:hint="eastAsia" w:cs="宋体"/>
          <w:sz w:val="28"/>
          <w:szCs w:val="28"/>
          <w:lang w:val="en-US" w:eastAsia="zh-CN"/>
        </w:rPr>
        <w:t>1.</w:t>
      </w:r>
      <w:r>
        <w:rPr>
          <w:rFonts w:hint="eastAsia" w:ascii="宋体" w:hAnsi="宋体" w:eastAsia="宋体" w:cs="宋体"/>
          <w:sz w:val="28"/>
          <w:szCs w:val="28"/>
          <w:lang w:val="en-US" w:eastAsia="zh-CN"/>
        </w:rPr>
        <w:t>牵头组织（张全柱、张志强</w:t>
      </w:r>
      <w:r>
        <w:rPr>
          <w:rFonts w:hint="eastAsia" w:cs="宋体"/>
          <w:sz w:val="28"/>
          <w:szCs w:val="28"/>
          <w:lang w:val="en-US" w:eastAsia="zh-CN"/>
        </w:rPr>
        <w:t>、</w:t>
      </w:r>
      <w:r>
        <w:rPr>
          <w:rFonts w:hint="eastAsia" w:ascii="宋体" w:hAnsi="宋体" w:eastAsia="宋体" w:cs="宋体"/>
          <w:sz w:val="28"/>
          <w:szCs w:val="28"/>
          <w:lang w:val="en-US" w:eastAsia="zh-CN"/>
        </w:rPr>
        <w:t>邓永红），负责标准框架、总则等总体部分起草，并承担标准起草组织管理工作</w:t>
      </w:r>
      <w:r>
        <w:rPr>
          <w:rFonts w:hint="eastAsia" w:cs="宋体"/>
          <w:sz w:val="28"/>
          <w:szCs w:val="28"/>
          <w:lang w:val="en-US" w:eastAsia="zh-CN"/>
        </w:rPr>
        <w:t>、</w:t>
      </w:r>
      <w:r>
        <w:rPr>
          <w:rFonts w:hint="eastAsia" w:ascii="宋体" w:hAnsi="宋体" w:eastAsia="宋体" w:cs="宋体"/>
          <w:sz w:val="28"/>
          <w:szCs w:val="28"/>
          <w:lang w:val="en-US" w:eastAsia="zh-CN"/>
        </w:rPr>
        <w:t>标准内容协调管理工作、标准整体综合修订工作、资料收集等。</w:t>
      </w:r>
    </w:p>
    <w:p w14:paraId="781A4699">
      <w:pPr>
        <w:pStyle w:val="4"/>
        <w:numPr>
          <w:ilvl w:val="0"/>
          <w:numId w:val="0"/>
        </w:numPr>
        <w:ind w:firstLine="560" w:firstLineChars="200"/>
        <w:rPr>
          <w:rFonts w:hint="eastAsia" w:cs="宋体"/>
          <w:sz w:val="28"/>
          <w:szCs w:val="28"/>
          <w:lang w:val="en-US" w:eastAsia="zh-CN"/>
        </w:rPr>
      </w:pPr>
      <w:r>
        <w:rPr>
          <w:rFonts w:hint="eastAsia" w:cs="宋体"/>
          <w:sz w:val="28"/>
          <w:szCs w:val="28"/>
          <w:lang w:val="en-US" w:eastAsia="zh-CN"/>
        </w:rPr>
        <w:t>2.企业参与起草（国能神东煤炭集团有限责任公司等），负责搜集整理企业需求，提供相关行业信息，对标准内容各相关部分进行可行性和合理性论证。</w:t>
      </w:r>
    </w:p>
    <w:p w14:paraId="136EFFA4">
      <w:pPr>
        <w:pStyle w:val="4"/>
        <w:numPr>
          <w:ilvl w:val="0"/>
          <w:numId w:val="0"/>
        </w:numPr>
        <w:ind w:firstLine="560" w:firstLineChars="200"/>
        <w:rPr>
          <w:rFonts w:hint="eastAsia" w:cs="宋体"/>
          <w:sz w:val="28"/>
          <w:szCs w:val="28"/>
          <w:lang w:val="en-US" w:eastAsia="zh-CN"/>
        </w:rPr>
      </w:pPr>
      <w:r>
        <w:rPr>
          <w:rFonts w:hint="eastAsia" w:cs="宋体"/>
          <w:sz w:val="28"/>
          <w:szCs w:val="28"/>
          <w:lang w:val="en-US" w:eastAsia="zh-CN"/>
        </w:rPr>
        <w:t xml:space="preserve">3.标准内容起草（张全柱 张志强 邓永红 黄佩瑶 宋沣珂 </w:t>
      </w:r>
      <w:r>
        <w:rPr>
          <w:rFonts w:hint="eastAsia"/>
          <w:color w:val="000000" w:themeColor="text1"/>
          <w:lang w:val="en-US" w:eastAsia="zh-CN"/>
          <w14:textFill>
            <w14:solidFill>
              <w14:schemeClr w14:val="tx1"/>
            </w14:solidFill>
          </w14:textFill>
        </w:rPr>
        <w:t>毕瑞卿</w:t>
      </w:r>
      <w:r>
        <w:rPr>
          <w:rFonts w:hint="eastAsia" w:cs="宋体"/>
          <w:sz w:val="28"/>
          <w:szCs w:val="28"/>
          <w:lang w:val="en-US" w:eastAsia="zh-CN"/>
        </w:rPr>
        <w:t>），负责查阅、收集、整合国内外相关技术资料，标准内容的研究、起草、讨论、修改并初步达成一致意见等。</w:t>
      </w:r>
    </w:p>
    <w:p w14:paraId="25C60BEB">
      <w:pPr>
        <w:pStyle w:val="4"/>
        <w:numPr>
          <w:ilvl w:val="0"/>
          <w:numId w:val="0"/>
        </w:numPr>
        <w:rPr>
          <w:rFonts w:hint="eastAsia" w:ascii="宋体" w:hAnsi="宋体" w:eastAsia="宋体" w:cs="宋体"/>
          <w:sz w:val="28"/>
          <w:szCs w:val="28"/>
          <w:lang w:val="en-US" w:eastAsia="zh-CN"/>
        </w:rPr>
      </w:pPr>
    </w:p>
    <w:p w14:paraId="39A9A021">
      <w:pPr>
        <w:pStyle w:val="4"/>
        <w:numPr>
          <w:ilvl w:val="0"/>
          <w:numId w:val="0"/>
        </w:numPr>
        <w:rPr>
          <w:rFonts w:hint="eastAsia" w:ascii="宋体" w:hAnsi="宋体" w:eastAsia="宋体" w:cs="宋体"/>
          <w:sz w:val="28"/>
          <w:szCs w:val="28"/>
          <w:lang w:val="en-US" w:eastAsia="zh-CN"/>
        </w:rPr>
      </w:pPr>
    </w:p>
    <w:p w14:paraId="57F4CB78">
      <w:pPr>
        <w:pStyle w:val="2"/>
        <w:numPr>
          <w:ilvl w:val="1"/>
          <w:numId w:val="0"/>
        </w:numPr>
        <w:bidi w:val="0"/>
        <w:spacing w:line="240" w:lineRule="auto"/>
        <w:ind w:leftChars="0"/>
        <w:rPr>
          <w:rFonts w:hint="eastAsia"/>
          <w:b/>
          <w:bCs w:val="0"/>
          <w:sz w:val="28"/>
          <w:szCs w:val="28"/>
          <w:lang w:val="en-US" w:eastAsia="zh-CN"/>
        </w:rPr>
      </w:pPr>
      <w:bookmarkStart w:id="4" w:name="_Toc17588"/>
      <w:r>
        <w:rPr>
          <w:rFonts w:hint="eastAsia"/>
          <w:b/>
          <w:bCs w:val="0"/>
          <w:sz w:val="28"/>
          <w:szCs w:val="28"/>
          <w:lang w:val="en-US" w:eastAsia="zh-CN"/>
        </w:rPr>
        <w:t>二、主要起草过程</w:t>
      </w:r>
      <w:bookmarkEnd w:id="4"/>
    </w:p>
    <w:p w14:paraId="46B09D7D">
      <w:pPr>
        <w:pStyle w:val="5"/>
        <w:numPr>
          <w:ilvl w:val="2"/>
          <w:numId w:val="0"/>
        </w:numPr>
        <w:bidi w:val="0"/>
        <w:spacing w:line="240" w:lineRule="auto"/>
        <w:ind w:leftChars="0" w:firstLine="560" w:firstLineChars="200"/>
        <w:rPr>
          <w:rFonts w:hint="eastAsia"/>
          <w:sz w:val="28"/>
          <w:szCs w:val="28"/>
          <w:lang w:val="en-US" w:eastAsia="zh-CN"/>
        </w:rPr>
      </w:pPr>
      <w:bookmarkStart w:id="5" w:name="_Toc32758"/>
      <w:r>
        <w:rPr>
          <w:rFonts w:hint="eastAsia"/>
          <w:sz w:val="28"/>
          <w:szCs w:val="28"/>
          <w:lang w:val="en-US" w:eastAsia="zh-CN"/>
        </w:rPr>
        <w:t>（一）前期研究阶段</w:t>
      </w:r>
      <w:bookmarkEnd w:id="5"/>
    </w:p>
    <w:p w14:paraId="74A837C7">
      <w:pPr>
        <w:ind w:firstLine="560" w:firstLineChars="200"/>
        <w:rPr>
          <w:rFonts w:hint="eastAsia"/>
        </w:rPr>
      </w:pPr>
      <w:bookmarkStart w:id="6" w:name="_Toc3122"/>
      <w:r>
        <w:rPr>
          <w:rFonts w:hint="eastAsia"/>
        </w:rPr>
        <w:t>2021年中国煤炭科工集团安标国家中心召开的防爆锂电池辅助运输车辆技术研讨会，提出了支持发展快速换电技术、推进锂电池辅助运输设备相关配套标准体系建立的倡议，2022年，国家发展改革委和国家能源局联合发布《关于完善能源绿色低碳转型体制机制和政策措施的意见》。在国家能源绿色低碳转型的时代背景并结合技术创新和安全管理的需求下，形成了煤矿井下充电换能站动力电池技术规范的雏形，华北科技学院作为国内在煤矿领域具有监视研究基础和丰富成果的高等院校，积极参加地方、国家级的培训、学习交流会，积累了大量的专业知识和调研数据，针对煤矿井下充电换能站、防爆磷酸铁锂电池等有了深入的认识和了解。全程参与团体标准《煤矿井下充电换能站用动力电池技术</w:t>
      </w:r>
      <w:r>
        <w:rPr>
          <w:rFonts w:hint="eastAsia"/>
          <w:lang w:val="en-US" w:eastAsia="zh-CN"/>
        </w:rPr>
        <w:t>规范</w:t>
      </w:r>
      <w:r>
        <w:rPr>
          <w:rFonts w:hint="eastAsia"/>
        </w:rPr>
        <w:t>》的数据采集、资料收集、研究试验、起草编写等工作。</w:t>
      </w:r>
    </w:p>
    <w:p w14:paraId="57ECF12C">
      <w:pPr>
        <w:pStyle w:val="5"/>
        <w:numPr>
          <w:ilvl w:val="2"/>
          <w:numId w:val="0"/>
        </w:numPr>
        <w:bidi w:val="0"/>
        <w:spacing w:line="240" w:lineRule="auto"/>
        <w:ind w:leftChars="0" w:firstLine="560" w:firstLineChars="200"/>
        <w:rPr>
          <w:rFonts w:hint="eastAsia"/>
          <w:sz w:val="28"/>
          <w:szCs w:val="28"/>
          <w:lang w:val="en-US" w:eastAsia="zh-CN"/>
        </w:rPr>
      </w:pPr>
      <w:r>
        <w:rPr>
          <w:rFonts w:hint="eastAsia"/>
          <w:sz w:val="28"/>
          <w:szCs w:val="28"/>
          <w:lang w:val="en-US" w:eastAsia="zh-CN"/>
        </w:rPr>
        <w:t>（二）立项阶段</w:t>
      </w:r>
      <w:bookmarkEnd w:id="6"/>
    </w:p>
    <w:p w14:paraId="7D608B4E">
      <w:pPr>
        <w:ind w:firstLine="560" w:firstLineChars="200"/>
        <w:rPr>
          <w:rFonts w:hint="eastAsia"/>
        </w:rPr>
      </w:pPr>
      <w:bookmarkStart w:id="7" w:name="_Toc15015"/>
      <w:r>
        <w:rPr>
          <w:rFonts w:hint="eastAsia"/>
        </w:rPr>
        <w:t>根据中国煤炭学会《关于征集2023年中国煤炭学会团体标准立项计划的通知》（中国煤炭学会〔2023〕 10号）精神，为规范企业相关产品要求，推动煤矿井下充电换能站用动力电池技术的建设和发展，提供可靠的技术参考。华北科技学院在中国煤炭学会具体指导下，组织申报了《煤矿井下充电换能站用动力电池技术</w:t>
      </w:r>
      <w:r>
        <w:rPr>
          <w:rFonts w:hint="eastAsia"/>
          <w:lang w:val="en-US" w:eastAsia="zh-CN"/>
        </w:rPr>
        <w:t>规范</w:t>
      </w:r>
      <w:r>
        <w:rPr>
          <w:rFonts w:hint="eastAsia"/>
        </w:rPr>
        <w:t>》的编订任务，于2024年4月3日经中国煤炭学会组织专家评审并审议通过，并以“中煤学会学术函〔2024〕</w:t>
      </w:r>
      <w:r>
        <w:rPr>
          <w:rFonts w:hint="eastAsia"/>
          <w:lang w:val="en-US" w:eastAsia="zh-CN"/>
        </w:rPr>
        <w:t xml:space="preserve"> </w:t>
      </w:r>
      <w:r>
        <w:rPr>
          <w:rFonts w:hint="eastAsia"/>
        </w:rPr>
        <w:t>4号”批准立项。</w:t>
      </w:r>
    </w:p>
    <w:p w14:paraId="0231E4CF">
      <w:pPr>
        <w:pStyle w:val="5"/>
        <w:numPr>
          <w:ilvl w:val="2"/>
          <w:numId w:val="0"/>
        </w:numPr>
        <w:bidi w:val="0"/>
        <w:spacing w:line="240" w:lineRule="auto"/>
        <w:ind w:leftChars="0" w:firstLine="560" w:firstLineChars="200"/>
        <w:rPr>
          <w:rFonts w:hint="eastAsia"/>
          <w:sz w:val="28"/>
          <w:szCs w:val="28"/>
          <w:lang w:val="en-US" w:eastAsia="zh-CN"/>
        </w:rPr>
      </w:pPr>
      <w:r>
        <w:rPr>
          <w:rFonts w:hint="eastAsia"/>
          <w:sz w:val="28"/>
          <w:szCs w:val="28"/>
          <w:lang w:val="en-US" w:eastAsia="zh-CN"/>
        </w:rPr>
        <w:t>（三）起草阶段</w:t>
      </w:r>
      <w:bookmarkEnd w:id="7"/>
    </w:p>
    <w:p w14:paraId="5AE71265">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rPr>
      </w:pPr>
      <w:bookmarkStart w:id="8" w:name="_Toc20022"/>
      <w:bookmarkStart w:id="9" w:name="_Toc11633"/>
      <w:r>
        <w:rPr>
          <w:rFonts w:hint="eastAsia"/>
        </w:rPr>
        <w:t>2024年4月，收到立项批准文件后，立即成立标准编制课题组，进行了集中学习、责任分工。在标准前期研究基础上，收集整合相关国家标准、法律法规及行业规范性文件、资料。</w:t>
      </w:r>
    </w:p>
    <w:p w14:paraId="5E428799">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rPr>
      </w:pPr>
      <w:r>
        <w:rPr>
          <w:rFonts w:hint="eastAsia"/>
        </w:rPr>
        <w:t>2024年4月，标准编制组召开第1次标准讨论会，充分讨论后制定了标准编制大纲、明确课题组人员任务与分工。经过课题组成员及主要起草人的多次研讨、质询，设计出标准的章节结构和内容，确定了标准的适用范围、基本章节等主要内容及结构。</w:t>
      </w:r>
    </w:p>
    <w:p w14:paraId="2C3791C4">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rPr>
      </w:pPr>
      <w:r>
        <w:rPr>
          <w:rFonts w:hint="eastAsia"/>
        </w:rPr>
        <w:t>2024年5月，标准主要起草人参加了中国煤炭学会组织的GB/T 1.1-2020《标准化工作导则 第1部分：标准化文件的结构和起草规则》标准编制规范集中培训和相关技术学术研讨会，并将会议精神、会议主要内容记录保存。及时主持召开课题讨论会，向课题组其他成员分享学习经验、心得体会。</w:t>
      </w:r>
    </w:p>
    <w:p w14:paraId="30A6F101">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rPr>
      </w:pPr>
      <w:r>
        <w:rPr>
          <w:rFonts w:hint="eastAsia"/>
        </w:rPr>
        <w:t>2024年5月-8月，标准课题组对标准修改稿进行了多次内部讨论及修正，并完成了标准征求意见稿以及编制说明。</w:t>
      </w:r>
    </w:p>
    <w:p w14:paraId="3F18D64B">
      <w:pPr>
        <w:pStyle w:val="2"/>
        <w:numPr>
          <w:ilvl w:val="1"/>
          <w:numId w:val="0"/>
        </w:numPr>
        <w:bidi w:val="0"/>
        <w:spacing w:line="240" w:lineRule="auto"/>
        <w:ind w:leftChars="0"/>
        <w:rPr>
          <w:rFonts w:hint="eastAsia" w:ascii="宋体" w:hAnsi="宋体" w:eastAsia="宋体" w:cs="宋体"/>
          <w:sz w:val="28"/>
          <w:szCs w:val="28"/>
          <w:lang w:val="en-US" w:eastAsia="zh-CN"/>
        </w:rPr>
      </w:pPr>
      <w:r>
        <w:rPr>
          <w:rFonts w:hint="eastAsia"/>
          <w:b/>
          <w:bCs w:val="0"/>
          <w:sz w:val="28"/>
          <w:szCs w:val="28"/>
          <w:lang w:val="en-US" w:eastAsia="zh-CN"/>
        </w:rPr>
        <w:t>三、编制思路、主要技术内容、指标、参数、试验方法确定的依据</w:t>
      </w:r>
      <w:bookmarkEnd w:id="8"/>
    </w:p>
    <w:p w14:paraId="3E74B773">
      <w:pPr>
        <w:pStyle w:val="4"/>
        <w:numPr>
          <w:ilvl w:val="0"/>
          <w:numId w:val="33"/>
        </w:numPr>
        <w:autoSpaceDE w:val="0"/>
        <w:autoSpaceDN w:val="0"/>
        <w:ind w:firstLine="560" w:firstLineChars="200"/>
        <w:jc w:val="both"/>
        <w:rPr>
          <w:rFonts w:hint="eastAsia" w:ascii="宋体" w:hAnsi="宋体" w:eastAsia="宋体" w:cs="宋体"/>
          <w:sz w:val="28"/>
          <w:szCs w:val="28"/>
        </w:rPr>
      </w:pPr>
      <w:r>
        <w:rPr>
          <w:rFonts w:hint="eastAsia"/>
          <w:sz w:val="28"/>
          <w:szCs w:val="28"/>
          <w:lang w:val="en-US" w:eastAsia="zh-CN"/>
        </w:rPr>
        <w:t>编制思路</w:t>
      </w:r>
      <w:bookmarkEnd w:id="9"/>
      <w:bookmarkStart w:id="10" w:name="_Toc7677"/>
    </w:p>
    <w:p w14:paraId="7D00AD19">
      <w:pPr>
        <w:pStyle w:val="4"/>
        <w:numPr>
          <w:ilvl w:val="0"/>
          <w:numId w:val="0"/>
        </w:numPr>
        <w:autoSpaceDE w:val="0"/>
        <w:autoSpaceDN w:val="0"/>
        <w:ind w:firstLine="560" w:firstLineChars="200"/>
        <w:jc w:val="both"/>
        <w:rPr>
          <w:rFonts w:hint="eastAsia" w:ascii="宋体" w:hAnsi="宋体" w:eastAsia="宋体" w:cs="宋体"/>
          <w:sz w:val="28"/>
          <w:szCs w:val="28"/>
        </w:rPr>
      </w:pPr>
      <w:r>
        <w:rPr>
          <w:rFonts w:hint="eastAsia" w:ascii="宋体" w:hAnsi="宋体" w:eastAsia="宋体" w:cs="宋体"/>
          <w:sz w:val="28"/>
          <w:szCs w:val="28"/>
        </w:rPr>
        <w:t>首先，通过对铅酸蓄电池、三元锂电池、磷酸铁锂电池、镍氢蓄电池进行各类主要指标的比较，明确煤矿井下充电换能站用磷酸铁锂电池除低温性能差以外，其他性能显著，且可以通过技术手段使得电池标准箱工作在最佳温度范围。为保障煤矿井下充电换能站用电池充放电安全高效运行，根据矿井实际情况</w:t>
      </w:r>
      <w:r>
        <w:rPr>
          <w:rFonts w:hint="eastAsia" w:cs="宋体"/>
          <w:sz w:val="28"/>
          <w:szCs w:val="28"/>
          <w:lang w:val="en-US" w:eastAsia="zh-CN"/>
        </w:rPr>
        <w:t>和《煤矿安全规程》（2022）</w:t>
      </w:r>
      <w:r>
        <w:rPr>
          <w:rFonts w:hint="eastAsia" w:ascii="宋体" w:hAnsi="宋体" w:eastAsia="宋体" w:cs="宋体"/>
          <w:sz w:val="28"/>
          <w:szCs w:val="28"/>
        </w:rPr>
        <w:t>规定磷酸铁锂电池的相关应用标准。</w:t>
      </w:r>
    </w:p>
    <w:p w14:paraId="3440C706">
      <w:pPr>
        <w:pStyle w:val="4"/>
        <w:numPr>
          <w:ilvl w:val="0"/>
          <w:numId w:val="0"/>
        </w:numPr>
        <w:autoSpaceDE w:val="0"/>
        <w:autoSpaceDN w:val="0"/>
        <w:ind w:firstLine="560" w:firstLineChars="200"/>
        <w:jc w:val="both"/>
        <w:rPr>
          <w:rFonts w:hint="eastAsia" w:ascii="宋体" w:hAnsi="宋体" w:eastAsia="宋体" w:cs="宋体"/>
          <w:sz w:val="28"/>
          <w:szCs w:val="28"/>
        </w:rPr>
      </w:pPr>
      <w:r>
        <w:rPr>
          <w:rFonts w:hint="eastAsia" w:ascii="宋体" w:hAnsi="宋体" w:eastAsia="宋体" w:cs="宋体"/>
          <w:sz w:val="28"/>
          <w:szCs w:val="28"/>
        </w:rPr>
        <w:t>其次，针对动力电池的规格尺寸、性能指标参数、充电接口、放电接口、BMS接口进行规定，根据电池的技术要求和接口的技术要求，明确其工作范围与工作要求。在研究矿井用车辆类型时，对车的外形尺寸、续驶里程、满载质量进行分析后，划分电池容量大小，可以分为低等、中低等、中等、中高等、高等容量。由于电池由单体电池串联组成模块电池，再由几个模块电池构成电池标准箱，接着对模块电池和标准箱的规格尺寸进行范围规定，再分别规定单体电池、模块电池、电池标准箱的性能指标参数。接着对动力电池接口展开研究，动力电池接口包括充电接口、放电接口、BMS接口。接口的技术要求从一般要求、型式与尺寸、锁止装置、控制电路电器和开关元件、插拔力、表面温度、性能要求等方面进行规范。充电接口包括充电插座、充电插头，放电接口包括放电插座、放电插头。BMS接口应具备数据采集、通信、报警和保护、控制、状态估算、参数设置、数据存储、计算和统计等功能，再讲述BMS接口的一般要求与硬件要求。所以我们煤矿井下的环境要求先规定动力电池的标准，再定义电池对外接口的标准。</w:t>
      </w:r>
    </w:p>
    <w:p w14:paraId="2D321732">
      <w:pPr>
        <w:pStyle w:val="4"/>
        <w:numPr>
          <w:ilvl w:val="0"/>
          <w:numId w:val="0"/>
        </w:numPr>
        <w:autoSpaceDE w:val="0"/>
        <w:autoSpaceDN w:val="0"/>
        <w:ind w:firstLine="560" w:firstLineChars="200"/>
        <w:jc w:val="both"/>
        <w:rPr>
          <w:rFonts w:hint="eastAsia" w:ascii="宋体" w:hAnsi="宋体" w:eastAsia="宋体" w:cs="宋体"/>
          <w:sz w:val="28"/>
          <w:szCs w:val="28"/>
        </w:rPr>
      </w:pPr>
      <w:r>
        <w:rPr>
          <w:rFonts w:hint="eastAsia" w:ascii="宋体" w:hAnsi="宋体" w:eastAsia="宋体" w:cs="宋体"/>
          <w:sz w:val="28"/>
          <w:szCs w:val="28"/>
        </w:rPr>
        <w:t>最后</w:t>
      </w:r>
      <w:r>
        <w:rPr>
          <w:rFonts w:hint="eastAsia" w:cs="宋体"/>
          <w:sz w:val="28"/>
          <w:szCs w:val="28"/>
          <w:lang w:eastAsia="zh-CN"/>
        </w:rPr>
        <w:t>，</w:t>
      </w:r>
      <w:r>
        <w:rPr>
          <w:rFonts w:hint="eastAsia" w:ascii="宋体" w:hAnsi="宋体" w:eastAsia="宋体" w:cs="宋体"/>
          <w:sz w:val="28"/>
          <w:szCs w:val="28"/>
        </w:rPr>
        <w:t>根据磷酸铁锂电池进行安全性测试以满足煤矿井下防爆要求，具体需要测试的项目及内容包括过充测试；过放测试；短路测试；针刺测试；跌落测试；挤压测试；低温性能；热冲击测试。为了和矿山安全生产智能监控系统、智慧化矿山系统甚至是与国际上相关的矿山系统同步与接轨，参考了大量国内外标准与文献，最后制定出既符合国内生产需求，又与国际接轨的相关要求与规定。</w:t>
      </w:r>
    </w:p>
    <w:p w14:paraId="4C2D5AA6">
      <w:pPr>
        <w:pStyle w:val="5"/>
        <w:numPr>
          <w:ilvl w:val="2"/>
          <w:numId w:val="0"/>
        </w:numPr>
        <w:bidi w:val="0"/>
        <w:spacing w:line="240" w:lineRule="auto"/>
        <w:ind w:leftChars="0" w:firstLine="560" w:firstLineChars="200"/>
        <w:rPr>
          <w:rFonts w:hint="eastAsia"/>
          <w:sz w:val="28"/>
          <w:szCs w:val="28"/>
          <w:lang w:val="en-US" w:eastAsia="zh-CN"/>
        </w:rPr>
      </w:pPr>
      <w:r>
        <w:rPr>
          <w:rFonts w:hint="eastAsia"/>
          <w:sz w:val="28"/>
          <w:szCs w:val="28"/>
          <w:lang w:val="en-US" w:eastAsia="zh-CN"/>
        </w:rPr>
        <w:t>（二）主要内容</w:t>
      </w:r>
      <w:bookmarkEnd w:id="10"/>
    </w:p>
    <w:p w14:paraId="654EEF64">
      <w:pPr>
        <w:pStyle w:val="4"/>
        <w:numPr>
          <w:ilvl w:val="0"/>
          <w:numId w:val="0"/>
        </w:num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前言：说明本标准的起草依据、提出单位、归口单位、起草单位和起草人等。</w:t>
      </w:r>
    </w:p>
    <w:p w14:paraId="7FA5FD57">
      <w:pPr>
        <w:pStyle w:val="4"/>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    范围：明确了本标准的内容范围和适用范围。</w:t>
      </w:r>
    </w:p>
    <w:p w14:paraId="69B1E50B">
      <w:pPr>
        <w:pStyle w:val="4"/>
        <w:numPr>
          <w:ilvl w:val="0"/>
          <w:numId w:val="0"/>
        </w:num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规范性引用文件：阐明了本标准引用其他标准情况。</w:t>
      </w:r>
    </w:p>
    <w:p w14:paraId="04F05AE8">
      <w:pPr>
        <w:pStyle w:val="4"/>
        <w:numPr>
          <w:ilvl w:val="0"/>
          <w:numId w:val="0"/>
        </w:numPr>
        <w:ind w:firstLine="560" w:firstLineChars="200"/>
        <w:rPr>
          <w:rFonts w:hint="default" w:ascii="宋体" w:hAnsi="宋体" w:eastAsia="宋体" w:cs="宋体"/>
          <w:color w:val="FF0000"/>
          <w:sz w:val="28"/>
          <w:szCs w:val="28"/>
          <w:lang w:val="en-US" w:eastAsia="zh-CN"/>
        </w:rPr>
      </w:pPr>
      <w:r>
        <w:rPr>
          <w:rFonts w:hint="eastAsia" w:ascii="宋体" w:hAnsi="宋体" w:eastAsia="宋体" w:cs="宋体"/>
          <w:sz w:val="28"/>
          <w:szCs w:val="28"/>
          <w:lang w:val="en-US" w:eastAsia="zh-CN"/>
        </w:rPr>
        <w:t>术语和定义：对标准中涉及的重要概念进行集中翻译和阐释。</w:t>
      </w:r>
    </w:p>
    <w:p w14:paraId="0EBB4D6A">
      <w:pPr>
        <w:pStyle w:val="4"/>
        <w:numPr>
          <w:ilvl w:val="0"/>
          <w:numId w:val="0"/>
        </w:numPr>
        <w:ind w:firstLine="560" w:firstLineChars="20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动力电池技术要求：根据防爆特种装备车系列适配不同尺寸规格和性能参数的电池。对比不同</w:t>
      </w:r>
      <w:r>
        <w:rPr>
          <w:rFonts w:hint="eastAsia" w:cs="宋体"/>
          <w:sz w:val="28"/>
          <w:szCs w:val="28"/>
          <w:lang w:val="en-US" w:eastAsia="zh-CN"/>
        </w:rPr>
        <w:t>种类</w:t>
      </w:r>
      <w:r>
        <w:rPr>
          <w:rFonts w:hint="eastAsia" w:ascii="宋体" w:hAnsi="宋体" w:eastAsia="宋体" w:cs="宋体"/>
          <w:sz w:val="28"/>
          <w:szCs w:val="28"/>
          <w:lang w:val="en-US" w:eastAsia="zh-CN"/>
        </w:rPr>
        <w:t>的电池参数，如下表</w:t>
      </w:r>
      <w:r>
        <w:rPr>
          <w:rFonts w:hint="eastAsia" w:cs="宋体"/>
          <w:sz w:val="28"/>
          <w:szCs w:val="28"/>
          <w:lang w:val="en-US" w:eastAsia="zh-CN"/>
        </w:rPr>
        <w:t>：</w:t>
      </w:r>
    </w:p>
    <w:tbl>
      <w:tblPr>
        <w:tblStyle w:val="3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97"/>
        <w:gridCol w:w="1208"/>
        <w:gridCol w:w="1441"/>
        <w:gridCol w:w="1441"/>
        <w:gridCol w:w="1441"/>
        <w:gridCol w:w="1494"/>
      </w:tblGrid>
      <w:tr w14:paraId="07F90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7" w:type="dxa"/>
          </w:tcPr>
          <w:p w14:paraId="06D3BCAC">
            <w:pPr>
              <w:pStyle w:val="166"/>
              <w:numPr>
                <w:ilvl w:val="3"/>
                <w:numId w:val="0"/>
              </w:numPr>
              <w:ind w:leftChars="0"/>
              <w:rPr>
                <w:rFonts w:hint="default" w:ascii="Times New Roman" w:hAnsi="Times New Roman" w:cs="Times New Roman"/>
                <w:sz w:val="24"/>
                <w:szCs w:val="24"/>
                <w:vertAlign w:val="baseline"/>
              </w:rPr>
            </w:pPr>
          </w:p>
        </w:tc>
        <w:tc>
          <w:tcPr>
            <w:tcW w:w="1208" w:type="dxa"/>
          </w:tcPr>
          <w:p w14:paraId="64CFB541">
            <w:pPr>
              <w:pStyle w:val="166"/>
              <w:numPr>
                <w:ilvl w:val="3"/>
                <w:numId w:val="0"/>
              </w:numPr>
              <w:ind w:leftChars="0"/>
              <w:jc w:val="center"/>
              <w:rPr>
                <w:rFonts w:hint="default"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一般锂离子电池</w:t>
            </w:r>
          </w:p>
        </w:tc>
        <w:tc>
          <w:tcPr>
            <w:tcW w:w="1441" w:type="dxa"/>
          </w:tcPr>
          <w:p w14:paraId="0EDDD498">
            <w:pPr>
              <w:pStyle w:val="166"/>
              <w:numPr>
                <w:ilvl w:val="3"/>
                <w:numId w:val="0"/>
              </w:numPr>
              <w:ind w:leftChars="0"/>
              <w:jc w:val="center"/>
              <w:rPr>
                <w:rFonts w:hint="default"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三元锂电池</w:t>
            </w:r>
          </w:p>
        </w:tc>
        <w:tc>
          <w:tcPr>
            <w:tcW w:w="1441" w:type="dxa"/>
          </w:tcPr>
          <w:p w14:paraId="2B3E4A38">
            <w:pPr>
              <w:pStyle w:val="166"/>
              <w:numPr>
                <w:ilvl w:val="3"/>
                <w:numId w:val="0"/>
              </w:numPr>
              <w:ind w:leftChars="0"/>
              <w:jc w:val="center"/>
              <w:rPr>
                <w:rFonts w:hint="default"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镍氢电池</w:t>
            </w:r>
          </w:p>
        </w:tc>
        <w:tc>
          <w:tcPr>
            <w:tcW w:w="1441" w:type="dxa"/>
          </w:tcPr>
          <w:p w14:paraId="3D34495F">
            <w:pPr>
              <w:pStyle w:val="166"/>
              <w:numPr>
                <w:ilvl w:val="3"/>
                <w:numId w:val="0"/>
              </w:numPr>
              <w:ind w:leftChars="0"/>
              <w:jc w:val="center"/>
              <w:rPr>
                <w:rFonts w:hint="default"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磷酸铁锂电池</w:t>
            </w:r>
          </w:p>
        </w:tc>
        <w:tc>
          <w:tcPr>
            <w:tcW w:w="1494" w:type="dxa"/>
          </w:tcPr>
          <w:p w14:paraId="2A3506FE">
            <w:pPr>
              <w:pStyle w:val="166"/>
              <w:numPr>
                <w:ilvl w:val="3"/>
                <w:numId w:val="0"/>
              </w:numPr>
              <w:ind w:leftChars="0"/>
              <w:jc w:val="center"/>
              <w:rPr>
                <w:rFonts w:hint="default"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单位或测试条件</w:t>
            </w:r>
          </w:p>
        </w:tc>
      </w:tr>
      <w:tr w14:paraId="3A171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7" w:type="dxa"/>
          </w:tcPr>
          <w:p w14:paraId="4EA61481">
            <w:pPr>
              <w:pStyle w:val="166"/>
              <w:numPr>
                <w:ilvl w:val="3"/>
                <w:numId w:val="0"/>
              </w:numPr>
              <w:ind w:leftChars="0"/>
              <w:jc w:val="center"/>
              <w:rPr>
                <w:rFonts w:hint="default"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标准电压</w:t>
            </w:r>
          </w:p>
        </w:tc>
        <w:tc>
          <w:tcPr>
            <w:tcW w:w="1208" w:type="dxa"/>
          </w:tcPr>
          <w:p w14:paraId="11FCAFD9">
            <w:pPr>
              <w:pStyle w:val="166"/>
              <w:numPr>
                <w:ilvl w:val="3"/>
                <w:numId w:val="0"/>
              </w:numPr>
              <w:ind w:leftChars="0"/>
              <w:jc w:val="center"/>
              <w:rPr>
                <w:rFonts w:hint="default"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3.6或3.7</w:t>
            </w:r>
          </w:p>
        </w:tc>
        <w:tc>
          <w:tcPr>
            <w:tcW w:w="1441" w:type="dxa"/>
          </w:tcPr>
          <w:p w14:paraId="27549B15">
            <w:pPr>
              <w:pStyle w:val="166"/>
              <w:numPr>
                <w:ilvl w:val="3"/>
                <w:numId w:val="0"/>
              </w:numPr>
              <w:ind w:leftChars="0"/>
              <w:jc w:val="center"/>
              <w:rPr>
                <w:rFonts w:hint="default"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3.6或3.7</w:t>
            </w:r>
          </w:p>
        </w:tc>
        <w:tc>
          <w:tcPr>
            <w:tcW w:w="1441" w:type="dxa"/>
          </w:tcPr>
          <w:p w14:paraId="6BC4F23A">
            <w:pPr>
              <w:pStyle w:val="166"/>
              <w:numPr>
                <w:ilvl w:val="3"/>
                <w:numId w:val="0"/>
              </w:numPr>
              <w:ind w:leftChars="0"/>
              <w:jc w:val="center"/>
              <w:rPr>
                <w:rFonts w:hint="default"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1.2</w:t>
            </w:r>
          </w:p>
        </w:tc>
        <w:tc>
          <w:tcPr>
            <w:tcW w:w="1441" w:type="dxa"/>
          </w:tcPr>
          <w:p w14:paraId="04A68D7F">
            <w:pPr>
              <w:pStyle w:val="166"/>
              <w:numPr>
                <w:ilvl w:val="3"/>
                <w:numId w:val="0"/>
              </w:numPr>
              <w:ind w:leftChars="0"/>
              <w:jc w:val="center"/>
              <w:rPr>
                <w:rFonts w:hint="default"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3.2</w:t>
            </w:r>
          </w:p>
        </w:tc>
        <w:tc>
          <w:tcPr>
            <w:tcW w:w="1494" w:type="dxa"/>
          </w:tcPr>
          <w:p w14:paraId="1BABE0AC">
            <w:pPr>
              <w:pStyle w:val="166"/>
              <w:numPr>
                <w:ilvl w:val="3"/>
                <w:numId w:val="0"/>
              </w:numPr>
              <w:ind w:leftChars="0"/>
              <w:jc w:val="center"/>
              <w:rPr>
                <w:rFonts w:hint="eastAsia"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V</w:t>
            </w:r>
          </w:p>
        </w:tc>
      </w:tr>
      <w:tr w14:paraId="1DBD4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7" w:type="dxa"/>
          </w:tcPr>
          <w:p w14:paraId="78649EBC">
            <w:pPr>
              <w:pStyle w:val="166"/>
              <w:numPr>
                <w:ilvl w:val="3"/>
                <w:numId w:val="0"/>
              </w:numPr>
              <w:ind w:leftChars="0"/>
              <w:jc w:val="center"/>
              <w:rPr>
                <w:rFonts w:hint="default"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工作电压范围</w:t>
            </w:r>
          </w:p>
        </w:tc>
        <w:tc>
          <w:tcPr>
            <w:tcW w:w="1208" w:type="dxa"/>
          </w:tcPr>
          <w:p w14:paraId="7B2665CD">
            <w:pPr>
              <w:pStyle w:val="166"/>
              <w:numPr>
                <w:ilvl w:val="3"/>
                <w:numId w:val="0"/>
              </w:numPr>
              <w:ind w:leftChars="0"/>
              <w:jc w:val="center"/>
              <w:rPr>
                <w:rFonts w:hint="default"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3.0~4.2</w:t>
            </w:r>
          </w:p>
        </w:tc>
        <w:tc>
          <w:tcPr>
            <w:tcW w:w="1441" w:type="dxa"/>
          </w:tcPr>
          <w:p w14:paraId="2E80A09B">
            <w:pPr>
              <w:pStyle w:val="166"/>
              <w:numPr>
                <w:ilvl w:val="3"/>
                <w:numId w:val="0"/>
              </w:numPr>
              <w:ind w:leftChars="0"/>
              <w:jc w:val="center"/>
              <w:rPr>
                <w:rFonts w:hint="default"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3.0~4.2</w:t>
            </w:r>
          </w:p>
        </w:tc>
        <w:tc>
          <w:tcPr>
            <w:tcW w:w="1441" w:type="dxa"/>
          </w:tcPr>
          <w:p w14:paraId="6A194D1E">
            <w:pPr>
              <w:pStyle w:val="166"/>
              <w:numPr>
                <w:ilvl w:val="3"/>
                <w:numId w:val="0"/>
              </w:numPr>
              <w:ind w:leftChars="0"/>
              <w:jc w:val="center"/>
              <w:rPr>
                <w:rFonts w:hint="default"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1.0~1.4</w:t>
            </w:r>
          </w:p>
        </w:tc>
        <w:tc>
          <w:tcPr>
            <w:tcW w:w="1441" w:type="dxa"/>
          </w:tcPr>
          <w:p w14:paraId="350A4F76">
            <w:pPr>
              <w:pStyle w:val="166"/>
              <w:numPr>
                <w:ilvl w:val="3"/>
                <w:numId w:val="0"/>
              </w:numPr>
              <w:ind w:leftChars="0"/>
              <w:jc w:val="center"/>
              <w:rPr>
                <w:rFonts w:hint="default"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3.0~3.3</w:t>
            </w:r>
          </w:p>
        </w:tc>
        <w:tc>
          <w:tcPr>
            <w:tcW w:w="1494" w:type="dxa"/>
          </w:tcPr>
          <w:p w14:paraId="3740A66C">
            <w:pPr>
              <w:pStyle w:val="166"/>
              <w:numPr>
                <w:ilvl w:val="3"/>
                <w:numId w:val="0"/>
              </w:numPr>
              <w:ind w:leftChars="0"/>
              <w:jc w:val="center"/>
              <w:rPr>
                <w:rFonts w:hint="eastAsia"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V</w:t>
            </w:r>
          </w:p>
        </w:tc>
      </w:tr>
      <w:tr w14:paraId="4017D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7" w:type="dxa"/>
          </w:tcPr>
          <w:p w14:paraId="30189993">
            <w:pPr>
              <w:pStyle w:val="166"/>
              <w:numPr>
                <w:ilvl w:val="3"/>
                <w:numId w:val="0"/>
              </w:numPr>
              <w:ind w:leftChars="0"/>
              <w:jc w:val="center"/>
              <w:rPr>
                <w:rFonts w:hint="default"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单位质量容量</w:t>
            </w:r>
          </w:p>
        </w:tc>
        <w:tc>
          <w:tcPr>
            <w:tcW w:w="1208" w:type="dxa"/>
          </w:tcPr>
          <w:p w14:paraId="650EB8BA">
            <w:pPr>
              <w:pStyle w:val="166"/>
              <w:numPr>
                <w:ilvl w:val="3"/>
                <w:numId w:val="0"/>
              </w:numPr>
              <w:ind w:leftChars="0"/>
              <w:jc w:val="center"/>
              <w:rPr>
                <w:rFonts w:hint="default"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180</w:t>
            </w:r>
          </w:p>
        </w:tc>
        <w:tc>
          <w:tcPr>
            <w:tcW w:w="1441" w:type="dxa"/>
          </w:tcPr>
          <w:p w14:paraId="3C527B05">
            <w:pPr>
              <w:pStyle w:val="166"/>
              <w:numPr>
                <w:ilvl w:val="3"/>
                <w:numId w:val="0"/>
              </w:numPr>
              <w:ind w:leftChars="0"/>
              <w:jc w:val="center"/>
              <w:rPr>
                <w:rFonts w:hint="default"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130</w:t>
            </w:r>
          </w:p>
        </w:tc>
        <w:tc>
          <w:tcPr>
            <w:tcW w:w="1441" w:type="dxa"/>
          </w:tcPr>
          <w:p w14:paraId="2C6A2930">
            <w:pPr>
              <w:pStyle w:val="166"/>
              <w:numPr>
                <w:ilvl w:val="3"/>
                <w:numId w:val="0"/>
              </w:numPr>
              <w:ind w:leftChars="0"/>
              <w:jc w:val="center"/>
              <w:rPr>
                <w:rFonts w:hint="default"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80</w:t>
            </w:r>
          </w:p>
        </w:tc>
        <w:tc>
          <w:tcPr>
            <w:tcW w:w="1441" w:type="dxa"/>
          </w:tcPr>
          <w:p w14:paraId="058AF099">
            <w:pPr>
              <w:pStyle w:val="166"/>
              <w:numPr>
                <w:ilvl w:val="3"/>
                <w:numId w:val="0"/>
              </w:numPr>
              <w:ind w:leftChars="0"/>
              <w:jc w:val="center"/>
              <w:rPr>
                <w:rFonts w:hint="default"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130</w:t>
            </w:r>
          </w:p>
        </w:tc>
        <w:tc>
          <w:tcPr>
            <w:tcW w:w="1494" w:type="dxa"/>
          </w:tcPr>
          <w:p w14:paraId="531AD52E">
            <w:pPr>
              <w:pStyle w:val="166"/>
              <w:numPr>
                <w:ilvl w:val="3"/>
                <w:numId w:val="0"/>
              </w:numPr>
              <w:ind w:leftChars="0"/>
              <w:jc w:val="center"/>
              <w:rPr>
                <w:rFonts w:hint="default"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mAb/g</w:t>
            </w:r>
          </w:p>
        </w:tc>
      </w:tr>
      <w:tr w14:paraId="48316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7" w:type="dxa"/>
          </w:tcPr>
          <w:p w14:paraId="6393592B">
            <w:pPr>
              <w:pStyle w:val="166"/>
              <w:numPr>
                <w:ilvl w:val="3"/>
                <w:numId w:val="0"/>
              </w:numPr>
              <w:ind w:leftChars="0"/>
              <w:jc w:val="center"/>
              <w:rPr>
                <w:rFonts w:hint="default"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单位体积容量</w:t>
            </w:r>
          </w:p>
        </w:tc>
        <w:tc>
          <w:tcPr>
            <w:tcW w:w="1208" w:type="dxa"/>
          </w:tcPr>
          <w:p w14:paraId="34842CA9">
            <w:pPr>
              <w:pStyle w:val="166"/>
              <w:numPr>
                <w:ilvl w:val="3"/>
                <w:numId w:val="0"/>
              </w:numPr>
              <w:ind w:leftChars="0"/>
              <w:jc w:val="center"/>
              <w:rPr>
                <w:rFonts w:hint="default"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90~110</w:t>
            </w:r>
          </w:p>
        </w:tc>
        <w:tc>
          <w:tcPr>
            <w:tcW w:w="1441" w:type="dxa"/>
          </w:tcPr>
          <w:p w14:paraId="667F0B16">
            <w:pPr>
              <w:pStyle w:val="166"/>
              <w:numPr>
                <w:ilvl w:val="3"/>
                <w:numId w:val="0"/>
              </w:numPr>
              <w:ind w:leftChars="0"/>
              <w:jc w:val="center"/>
              <w:rPr>
                <w:rFonts w:hint="default"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60~75</w:t>
            </w:r>
          </w:p>
        </w:tc>
        <w:tc>
          <w:tcPr>
            <w:tcW w:w="1441" w:type="dxa"/>
          </w:tcPr>
          <w:p w14:paraId="14A5EE1E">
            <w:pPr>
              <w:pStyle w:val="166"/>
              <w:numPr>
                <w:ilvl w:val="3"/>
                <w:numId w:val="0"/>
              </w:numPr>
              <w:ind w:leftChars="0"/>
              <w:jc w:val="center"/>
              <w:rPr>
                <w:rFonts w:hint="default"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50~60</w:t>
            </w:r>
          </w:p>
        </w:tc>
        <w:tc>
          <w:tcPr>
            <w:tcW w:w="1441" w:type="dxa"/>
          </w:tcPr>
          <w:p w14:paraId="186FD048">
            <w:pPr>
              <w:pStyle w:val="166"/>
              <w:numPr>
                <w:ilvl w:val="3"/>
                <w:numId w:val="0"/>
              </w:numPr>
              <w:ind w:leftChars="0"/>
              <w:jc w:val="center"/>
              <w:rPr>
                <w:rFonts w:hint="default"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60~75</w:t>
            </w:r>
          </w:p>
        </w:tc>
        <w:tc>
          <w:tcPr>
            <w:tcW w:w="1494" w:type="dxa"/>
          </w:tcPr>
          <w:p w14:paraId="31F96A33">
            <w:pPr>
              <w:pStyle w:val="166"/>
              <w:numPr>
                <w:ilvl w:val="3"/>
                <w:numId w:val="0"/>
              </w:numPr>
              <w:ind w:leftChars="0"/>
              <w:jc w:val="center"/>
              <w:rPr>
                <w:rFonts w:hint="default"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Wb/kg</w:t>
            </w:r>
          </w:p>
        </w:tc>
      </w:tr>
      <w:tr w14:paraId="4045A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7" w:type="dxa"/>
          </w:tcPr>
          <w:p w14:paraId="2B531EB0">
            <w:pPr>
              <w:pStyle w:val="166"/>
              <w:numPr>
                <w:ilvl w:val="3"/>
                <w:numId w:val="0"/>
              </w:numPr>
              <w:ind w:leftChars="0"/>
              <w:jc w:val="center"/>
              <w:rPr>
                <w:rFonts w:hint="default"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单位重量能力</w:t>
            </w:r>
          </w:p>
        </w:tc>
        <w:tc>
          <w:tcPr>
            <w:tcW w:w="1208" w:type="dxa"/>
          </w:tcPr>
          <w:p w14:paraId="00B77C10">
            <w:pPr>
              <w:pStyle w:val="166"/>
              <w:numPr>
                <w:ilvl w:val="3"/>
                <w:numId w:val="0"/>
              </w:numPr>
              <w:ind w:leftChars="0"/>
              <w:jc w:val="center"/>
              <w:rPr>
                <w:rFonts w:hint="default"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280~300</w:t>
            </w:r>
          </w:p>
        </w:tc>
        <w:tc>
          <w:tcPr>
            <w:tcW w:w="1441" w:type="dxa"/>
          </w:tcPr>
          <w:p w14:paraId="185BEB25">
            <w:pPr>
              <w:pStyle w:val="166"/>
              <w:numPr>
                <w:ilvl w:val="3"/>
                <w:numId w:val="0"/>
              </w:numPr>
              <w:ind w:leftChars="0"/>
              <w:jc w:val="center"/>
              <w:rPr>
                <w:rFonts w:hint="default"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220~240</w:t>
            </w:r>
          </w:p>
        </w:tc>
        <w:tc>
          <w:tcPr>
            <w:tcW w:w="1441" w:type="dxa"/>
          </w:tcPr>
          <w:p w14:paraId="751B54AC">
            <w:pPr>
              <w:pStyle w:val="166"/>
              <w:numPr>
                <w:ilvl w:val="3"/>
                <w:numId w:val="0"/>
              </w:numPr>
              <w:ind w:leftChars="0"/>
              <w:jc w:val="center"/>
              <w:rPr>
                <w:rFonts w:hint="default"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200~220</w:t>
            </w:r>
          </w:p>
        </w:tc>
        <w:tc>
          <w:tcPr>
            <w:tcW w:w="1441" w:type="dxa"/>
          </w:tcPr>
          <w:p w14:paraId="521F0A87">
            <w:pPr>
              <w:pStyle w:val="166"/>
              <w:numPr>
                <w:ilvl w:val="3"/>
                <w:numId w:val="0"/>
              </w:numPr>
              <w:ind w:leftChars="0"/>
              <w:jc w:val="center"/>
              <w:rPr>
                <w:rFonts w:hint="default"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220~240</w:t>
            </w:r>
          </w:p>
        </w:tc>
        <w:tc>
          <w:tcPr>
            <w:tcW w:w="1494" w:type="dxa"/>
          </w:tcPr>
          <w:p w14:paraId="0CD615FF">
            <w:pPr>
              <w:pStyle w:val="166"/>
              <w:numPr>
                <w:ilvl w:val="3"/>
                <w:numId w:val="0"/>
              </w:numPr>
              <w:ind w:leftChars="0"/>
              <w:jc w:val="center"/>
              <w:rPr>
                <w:rFonts w:hint="default"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Wb/l</w:t>
            </w:r>
          </w:p>
        </w:tc>
      </w:tr>
      <w:tr w14:paraId="69C1E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7" w:type="dxa"/>
          </w:tcPr>
          <w:p w14:paraId="546CF267">
            <w:pPr>
              <w:pStyle w:val="166"/>
              <w:numPr>
                <w:ilvl w:val="3"/>
                <w:numId w:val="0"/>
              </w:numPr>
              <w:ind w:leftChars="0"/>
              <w:jc w:val="center"/>
              <w:rPr>
                <w:rFonts w:hint="default"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最佳充电率</w:t>
            </w:r>
          </w:p>
        </w:tc>
        <w:tc>
          <w:tcPr>
            <w:tcW w:w="1208" w:type="dxa"/>
          </w:tcPr>
          <w:p w14:paraId="6C4C5E8A">
            <w:pPr>
              <w:pStyle w:val="166"/>
              <w:numPr>
                <w:ilvl w:val="3"/>
                <w:numId w:val="0"/>
              </w:numPr>
              <w:ind w:leftChars="0"/>
              <w:jc w:val="center"/>
              <w:rPr>
                <w:rFonts w:hint="default"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0.2~0.5</w:t>
            </w:r>
          </w:p>
        </w:tc>
        <w:tc>
          <w:tcPr>
            <w:tcW w:w="1441" w:type="dxa"/>
          </w:tcPr>
          <w:p w14:paraId="40FDA2F5">
            <w:pPr>
              <w:pStyle w:val="166"/>
              <w:numPr>
                <w:ilvl w:val="3"/>
                <w:numId w:val="0"/>
              </w:numPr>
              <w:ind w:leftChars="0"/>
              <w:jc w:val="center"/>
              <w:rPr>
                <w:rFonts w:hint="default"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0.5~1.0</w:t>
            </w:r>
          </w:p>
        </w:tc>
        <w:tc>
          <w:tcPr>
            <w:tcW w:w="1441" w:type="dxa"/>
          </w:tcPr>
          <w:p w14:paraId="7B5AEE9C">
            <w:pPr>
              <w:pStyle w:val="166"/>
              <w:numPr>
                <w:ilvl w:val="3"/>
                <w:numId w:val="0"/>
              </w:numPr>
              <w:ind w:leftChars="0"/>
              <w:jc w:val="center"/>
              <w:rPr>
                <w:rFonts w:hint="default"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0.2~0.5</w:t>
            </w:r>
          </w:p>
        </w:tc>
        <w:tc>
          <w:tcPr>
            <w:tcW w:w="1441" w:type="dxa"/>
          </w:tcPr>
          <w:p w14:paraId="016D2474">
            <w:pPr>
              <w:pStyle w:val="166"/>
              <w:numPr>
                <w:ilvl w:val="3"/>
                <w:numId w:val="0"/>
              </w:numPr>
              <w:ind w:leftChars="0"/>
              <w:jc w:val="center"/>
              <w:rPr>
                <w:rFonts w:hint="default"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0.5~1.5</w:t>
            </w:r>
          </w:p>
        </w:tc>
        <w:tc>
          <w:tcPr>
            <w:tcW w:w="1494" w:type="dxa"/>
          </w:tcPr>
          <w:p w14:paraId="17F1D065">
            <w:pPr>
              <w:pStyle w:val="166"/>
              <w:numPr>
                <w:ilvl w:val="3"/>
                <w:numId w:val="0"/>
              </w:numPr>
              <w:ind w:leftChars="0"/>
              <w:jc w:val="center"/>
              <w:rPr>
                <w:rFonts w:hint="default"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C</w:t>
            </w:r>
          </w:p>
        </w:tc>
      </w:tr>
      <w:tr w14:paraId="33D19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7" w:type="dxa"/>
          </w:tcPr>
          <w:p w14:paraId="1C56C6A6">
            <w:pPr>
              <w:pStyle w:val="166"/>
              <w:numPr>
                <w:ilvl w:val="3"/>
                <w:numId w:val="0"/>
              </w:numPr>
              <w:ind w:leftChars="0"/>
              <w:jc w:val="center"/>
              <w:rPr>
                <w:rFonts w:hint="default"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工作放电率</w:t>
            </w:r>
          </w:p>
        </w:tc>
        <w:tc>
          <w:tcPr>
            <w:tcW w:w="1208" w:type="dxa"/>
          </w:tcPr>
          <w:p w14:paraId="0A414C85">
            <w:pPr>
              <w:pStyle w:val="166"/>
              <w:numPr>
                <w:ilvl w:val="3"/>
                <w:numId w:val="0"/>
              </w:numPr>
              <w:ind w:leftChars="0"/>
              <w:jc w:val="center"/>
              <w:rPr>
                <w:rFonts w:hint="eastAsia"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1</w:t>
            </w:r>
          </w:p>
        </w:tc>
        <w:tc>
          <w:tcPr>
            <w:tcW w:w="1441" w:type="dxa"/>
          </w:tcPr>
          <w:p w14:paraId="6A3114EC">
            <w:pPr>
              <w:pStyle w:val="166"/>
              <w:numPr>
                <w:ilvl w:val="3"/>
                <w:numId w:val="0"/>
              </w:numPr>
              <w:ind w:leftChars="0"/>
              <w:jc w:val="center"/>
              <w:rPr>
                <w:rFonts w:hint="eastAsia"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2</w:t>
            </w:r>
          </w:p>
        </w:tc>
        <w:tc>
          <w:tcPr>
            <w:tcW w:w="1441" w:type="dxa"/>
          </w:tcPr>
          <w:p w14:paraId="3AF0A313">
            <w:pPr>
              <w:pStyle w:val="166"/>
              <w:numPr>
                <w:ilvl w:val="3"/>
                <w:numId w:val="0"/>
              </w:numPr>
              <w:ind w:leftChars="0"/>
              <w:jc w:val="center"/>
              <w:rPr>
                <w:rFonts w:hint="default"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0.5</w:t>
            </w:r>
          </w:p>
        </w:tc>
        <w:tc>
          <w:tcPr>
            <w:tcW w:w="1441" w:type="dxa"/>
          </w:tcPr>
          <w:p w14:paraId="074AC796">
            <w:pPr>
              <w:pStyle w:val="166"/>
              <w:numPr>
                <w:ilvl w:val="3"/>
                <w:numId w:val="0"/>
              </w:numPr>
              <w:ind w:leftChars="0"/>
              <w:jc w:val="center"/>
              <w:rPr>
                <w:rFonts w:hint="eastAsia"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2</w:t>
            </w:r>
          </w:p>
        </w:tc>
        <w:tc>
          <w:tcPr>
            <w:tcW w:w="1494" w:type="dxa"/>
          </w:tcPr>
          <w:p w14:paraId="5B813633">
            <w:pPr>
              <w:pStyle w:val="166"/>
              <w:numPr>
                <w:ilvl w:val="3"/>
                <w:numId w:val="0"/>
              </w:numPr>
              <w:ind w:leftChars="0"/>
              <w:jc w:val="center"/>
              <w:rPr>
                <w:rFonts w:hint="eastAsia"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CmA</w:t>
            </w:r>
          </w:p>
        </w:tc>
      </w:tr>
      <w:tr w14:paraId="2F91D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7" w:type="dxa"/>
          </w:tcPr>
          <w:p w14:paraId="7AF45DF9">
            <w:pPr>
              <w:pStyle w:val="166"/>
              <w:numPr>
                <w:ilvl w:val="3"/>
                <w:numId w:val="0"/>
              </w:numPr>
              <w:ind w:leftChars="0"/>
              <w:jc w:val="center"/>
              <w:rPr>
                <w:rFonts w:hint="default"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最大放电率</w:t>
            </w:r>
          </w:p>
        </w:tc>
        <w:tc>
          <w:tcPr>
            <w:tcW w:w="1208" w:type="dxa"/>
          </w:tcPr>
          <w:p w14:paraId="58BA3AEC">
            <w:pPr>
              <w:pStyle w:val="166"/>
              <w:numPr>
                <w:ilvl w:val="3"/>
                <w:numId w:val="0"/>
              </w:numPr>
              <w:ind w:leftChars="0"/>
              <w:jc w:val="center"/>
              <w:rPr>
                <w:rFonts w:hint="default"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1.5</w:t>
            </w:r>
          </w:p>
        </w:tc>
        <w:tc>
          <w:tcPr>
            <w:tcW w:w="1441" w:type="dxa"/>
          </w:tcPr>
          <w:p w14:paraId="342DE5EA">
            <w:pPr>
              <w:pStyle w:val="166"/>
              <w:numPr>
                <w:ilvl w:val="3"/>
                <w:numId w:val="0"/>
              </w:numPr>
              <w:ind w:leftChars="0"/>
              <w:jc w:val="center"/>
              <w:rPr>
                <w:rFonts w:hint="eastAsia"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5</w:t>
            </w:r>
          </w:p>
        </w:tc>
        <w:tc>
          <w:tcPr>
            <w:tcW w:w="1441" w:type="dxa"/>
          </w:tcPr>
          <w:p w14:paraId="729CEC35">
            <w:pPr>
              <w:pStyle w:val="166"/>
              <w:numPr>
                <w:ilvl w:val="3"/>
                <w:numId w:val="0"/>
              </w:numPr>
              <w:ind w:leftChars="0"/>
              <w:jc w:val="center"/>
              <w:rPr>
                <w:rFonts w:hint="eastAsia"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2</w:t>
            </w:r>
          </w:p>
        </w:tc>
        <w:tc>
          <w:tcPr>
            <w:tcW w:w="1441" w:type="dxa"/>
          </w:tcPr>
          <w:p w14:paraId="5DF4700F">
            <w:pPr>
              <w:pStyle w:val="166"/>
              <w:numPr>
                <w:ilvl w:val="3"/>
                <w:numId w:val="0"/>
              </w:numPr>
              <w:ind w:leftChars="0"/>
              <w:jc w:val="center"/>
              <w:rPr>
                <w:rFonts w:hint="default"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10</w:t>
            </w:r>
          </w:p>
        </w:tc>
        <w:tc>
          <w:tcPr>
            <w:tcW w:w="1494" w:type="dxa"/>
          </w:tcPr>
          <w:p w14:paraId="5DFAAFCC">
            <w:pPr>
              <w:pStyle w:val="166"/>
              <w:numPr>
                <w:ilvl w:val="3"/>
                <w:numId w:val="0"/>
              </w:numPr>
              <w:ind w:leftChars="0"/>
              <w:jc w:val="center"/>
              <w:rPr>
                <w:rFonts w:hint="default"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CmA</w:t>
            </w:r>
          </w:p>
        </w:tc>
      </w:tr>
      <w:tr w14:paraId="614DA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7" w:type="dxa"/>
          </w:tcPr>
          <w:p w14:paraId="211B9E1C">
            <w:pPr>
              <w:pStyle w:val="166"/>
              <w:numPr>
                <w:ilvl w:val="3"/>
                <w:numId w:val="0"/>
              </w:numPr>
              <w:ind w:leftChars="0"/>
              <w:jc w:val="center"/>
              <w:rPr>
                <w:rFonts w:hint="default"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瞬间大电流脉冲</w:t>
            </w:r>
          </w:p>
        </w:tc>
        <w:tc>
          <w:tcPr>
            <w:tcW w:w="1208" w:type="dxa"/>
          </w:tcPr>
          <w:p w14:paraId="6D440A68">
            <w:pPr>
              <w:pStyle w:val="166"/>
              <w:numPr>
                <w:ilvl w:val="3"/>
                <w:numId w:val="0"/>
              </w:numPr>
              <w:ind w:leftChars="0"/>
              <w:jc w:val="center"/>
              <w:rPr>
                <w:rFonts w:hint="eastAsia"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2</w:t>
            </w:r>
          </w:p>
        </w:tc>
        <w:tc>
          <w:tcPr>
            <w:tcW w:w="1441" w:type="dxa"/>
          </w:tcPr>
          <w:p w14:paraId="1A3013D7">
            <w:pPr>
              <w:pStyle w:val="166"/>
              <w:numPr>
                <w:ilvl w:val="3"/>
                <w:numId w:val="0"/>
              </w:numPr>
              <w:ind w:leftChars="0"/>
              <w:jc w:val="center"/>
              <w:rPr>
                <w:rFonts w:hint="default"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10</w:t>
            </w:r>
          </w:p>
        </w:tc>
        <w:tc>
          <w:tcPr>
            <w:tcW w:w="1441" w:type="dxa"/>
          </w:tcPr>
          <w:p w14:paraId="23027326">
            <w:pPr>
              <w:pStyle w:val="166"/>
              <w:numPr>
                <w:ilvl w:val="3"/>
                <w:numId w:val="0"/>
              </w:numPr>
              <w:ind w:leftChars="0"/>
              <w:jc w:val="center"/>
              <w:rPr>
                <w:rFonts w:hint="eastAsia"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3</w:t>
            </w:r>
          </w:p>
        </w:tc>
        <w:tc>
          <w:tcPr>
            <w:tcW w:w="1441" w:type="dxa"/>
          </w:tcPr>
          <w:p w14:paraId="6590D931">
            <w:pPr>
              <w:pStyle w:val="166"/>
              <w:numPr>
                <w:ilvl w:val="3"/>
                <w:numId w:val="0"/>
              </w:numPr>
              <w:ind w:leftChars="0"/>
              <w:jc w:val="center"/>
              <w:rPr>
                <w:rFonts w:hint="default"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20</w:t>
            </w:r>
          </w:p>
        </w:tc>
        <w:tc>
          <w:tcPr>
            <w:tcW w:w="1494" w:type="dxa"/>
          </w:tcPr>
          <w:p w14:paraId="7242DA73">
            <w:pPr>
              <w:pStyle w:val="166"/>
              <w:numPr>
                <w:ilvl w:val="3"/>
                <w:numId w:val="0"/>
              </w:numPr>
              <w:ind w:leftChars="0"/>
              <w:jc w:val="center"/>
              <w:rPr>
                <w:rFonts w:hint="default"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CmA(10a)</w:t>
            </w:r>
          </w:p>
        </w:tc>
      </w:tr>
      <w:tr w14:paraId="73A07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7" w:type="dxa"/>
          </w:tcPr>
          <w:p w14:paraId="773971C2">
            <w:pPr>
              <w:pStyle w:val="166"/>
              <w:numPr>
                <w:ilvl w:val="3"/>
                <w:numId w:val="0"/>
              </w:numPr>
              <w:ind w:leftChars="0"/>
              <w:jc w:val="center"/>
              <w:rPr>
                <w:rFonts w:hint="default"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循环寿命</w:t>
            </w:r>
          </w:p>
        </w:tc>
        <w:tc>
          <w:tcPr>
            <w:tcW w:w="1208" w:type="dxa"/>
          </w:tcPr>
          <w:p w14:paraId="1F3B3EBC">
            <w:pPr>
              <w:pStyle w:val="166"/>
              <w:numPr>
                <w:ilvl w:val="3"/>
                <w:numId w:val="0"/>
              </w:numPr>
              <w:ind w:leftChars="0"/>
              <w:jc w:val="center"/>
              <w:rPr>
                <w:rFonts w:hint="eastAsia" w:ascii="Times New Roman" w:cs="Times New Roman"/>
                <w:sz w:val="24"/>
                <w:szCs w:val="24"/>
                <w:vertAlign w:val="baseline"/>
                <w:lang w:val="en-US" w:eastAsia="zh-CN"/>
              </w:rPr>
            </w:pPr>
            <w:r>
              <w:rPr>
                <w:rFonts w:hint="eastAsia" w:ascii="Times New Roman" w:cs="Times New Roman"/>
                <w:sz w:val="24"/>
                <w:szCs w:val="24"/>
                <w:vertAlign w:val="baseline"/>
                <w:lang w:val="en-US" w:eastAsia="zh-CN"/>
              </w:rPr>
              <w:t>60%</w:t>
            </w:r>
          </w:p>
          <w:p w14:paraId="40D29110">
            <w:pPr>
              <w:pStyle w:val="166"/>
              <w:numPr>
                <w:ilvl w:val="3"/>
                <w:numId w:val="0"/>
              </w:numPr>
              <w:ind w:leftChars="0"/>
              <w:jc w:val="center"/>
              <w:rPr>
                <w:rFonts w:hint="default" w:ascii="Times New Roman" w:cs="Times New Roman"/>
                <w:sz w:val="24"/>
                <w:szCs w:val="24"/>
                <w:vertAlign w:val="baseline"/>
                <w:lang w:val="en-US" w:eastAsia="zh-CN"/>
              </w:rPr>
            </w:pPr>
            <w:r>
              <w:rPr>
                <w:rFonts w:hint="eastAsia" w:ascii="Times New Roman" w:cs="Times New Roman"/>
                <w:sz w:val="24"/>
                <w:szCs w:val="24"/>
                <w:vertAlign w:val="baseline"/>
                <w:lang w:val="en-US" w:eastAsia="zh-CN"/>
              </w:rPr>
              <w:t>100次</w:t>
            </w:r>
          </w:p>
        </w:tc>
        <w:tc>
          <w:tcPr>
            <w:tcW w:w="1441" w:type="dxa"/>
          </w:tcPr>
          <w:p w14:paraId="79D33C0F">
            <w:pPr>
              <w:pStyle w:val="166"/>
              <w:numPr>
                <w:ilvl w:val="3"/>
                <w:numId w:val="0"/>
              </w:numPr>
              <w:ind w:leftChars="0"/>
              <w:jc w:val="center"/>
              <w:rPr>
                <w:rFonts w:hint="eastAsia" w:ascii="Times New Roman" w:cs="Times New Roman"/>
                <w:sz w:val="24"/>
                <w:szCs w:val="24"/>
                <w:vertAlign w:val="baseline"/>
                <w:lang w:val="en-US" w:eastAsia="zh-CN"/>
              </w:rPr>
            </w:pPr>
            <w:r>
              <w:rPr>
                <w:rFonts w:hint="eastAsia" w:ascii="Times New Roman" w:cs="Times New Roman"/>
                <w:sz w:val="24"/>
                <w:szCs w:val="24"/>
                <w:vertAlign w:val="baseline"/>
                <w:lang w:val="en-US" w:eastAsia="zh-CN"/>
              </w:rPr>
              <w:t>85%</w:t>
            </w:r>
          </w:p>
          <w:p w14:paraId="16E60FA3">
            <w:pPr>
              <w:pStyle w:val="166"/>
              <w:numPr>
                <w:ilvl w:val="3"/>
                <w:numId w:val="0"/>
              </w:numPr>
              <w:ind w:leftChars="0"/>
              <w:jc w:val="center"/>
              <w:rPr>
                <w:rFonts w:hint="default" w:ascii="Times New Roman" w:cs="Times New Roman"/>
                <w:sz w:val="24"/>
                <w:szCs w:val="24"/>
                <w:vertAlign w:val="baseline"/>
                <w:lang w:val="en-US" w:eastAsia="zh-CN"/>
              </w:rPr>
            </w:pPr>
            <w:r>
              <w:rPr>
                <w:rFonts w:hint="eastAsia" w:ascii="Times New Roman" w:cs="Times New Roman"/>
                <w:sz w:val="24"/>
                <w:szCs w:val="24"/>
                <w:vertAlign w:val="baseline"/>
                <w:lang w:val="en-US" w:eastAsia="zh-CN"/>
              </w:rPr>
              <w:t>300次</w:t>
            </w:r>
          </w:p>
        </w:tc>
        <w:tc>
          <w:tcPr>
            <w:tcW w:w="1441" w:type="dxa"/>
          </w:tcPr>
          <w:p w14:paraId="2B01C999">
            <w:pPr>
              <w:pStyle w:val="166"/>
              <w:numPr>
                <w:ilvl w:val="3"/>
                <w:numId w:val="0"/>
              </w:numPr>
              <w:ind w:leftChars="0"/>
              <w:jc w:val="center"/>
              <w:rPr>
                <w:rFonts w:hint="eastAsia" w:ascii="Times New Roman" w:cs="Times New Roman"/>
                <w:sz w:val="24"/>
                <w:szCs w:val="24"/>
                <w:vertAlign w:val="baseline"/>
                <w:lang w:val="en-US" w:eastAsia="zh-CN"/>
              </w:rPr>
            </w:pPr>
            <w:r>
              <w:rPr>
                <w:rFonts w:hint="eastAsia" w:ascii="Times New Roman" w:cs="Times New Roman"/>
                <w:sz w:val="24"/>
                <w:szCs w:val="24"/>
                <w:vertAlign w:val="baseline"/>
                <w:lang w:val="en-US" w:eastAsia="zh-CN"/>
              </w:rPr>
              <w:t>&lt;50%</w:t>
            </w:r>
          </w:p>
          <w:p w14:paraId="0C571984">
            <w:pPr>
              <w:pStyle w:val="166"/>
              <w:numPr>
                <w:ilvl w:val="3"/>
                <w:numId w:val="0"/>
              </w:numPr>
              <w:ind w:leftChars="0"/>
              <w:jc w:val="center"/>
              <w:rPr>
                <w:rFonts w:hint="default" w:ascii="Times New Roman" w:cs="Times New Roman"/>
                <w:sz w:val="24"/>
                <w:szCs w:val="24"/>
                <w:vertAlign w:val="baseline"/>
                <w:lang w:val="en-US" w:eastAsia="zh-CN"/>
              </w:rPr>
            </w:pPr>
            <w:r>
              <w:rPr>
                <w:rFonts w:hint="eastAsia" w:ascii="Times New Roman" w:cs="Times New Roman"/>
                <w:sz w:val="24"/>
                <w:szCs w:val="24"/>
                <w:vertAlign w:val="baseline"/>
                <w:lang w:val="en-US" w:eastAsia="zh-CN"/>
              </w:rPr>
              <w:t>50次</w:t>
            </w:r>
          </w:p>
        </w:tc>
        <w:tc>
          <w:tcPr>
            <w:tcW w:w="1441" w:type="dxa"/>
          </w:tcPr>
          <w:p w14:paraId="7CECD947">
            <w:pPr>
              <w:pStyle w:val="166"/>
              <w:numPr>
                <w:ilvl w:val="3"/>
                <w:numId w:val="0"/>
              </w:numPr>
              <w:ind w:leftChars="0"/>
              <w:jc w:val="center"/>
              <w:rPr>
                <w:rFonts w:hint="eastAsia" w:ascii="Times New Roman" w:cs="Times New Roman"/>
                <w:sz w:val="24"/>
                <w:szCs w:val="24"/>
                <w:vertAlign w:val="baseline"/>
                <w:lang w:val="en-US" w:eastAsia="zh-CN"/>
              </w:rPr>
            </w:pPr>
            <w:r>
              <w:rPr>
                <w:rFonts w:hint="eastAsia" w:ascii="Times New Roman" w:cs="Times New Roman"/>
                <w:sz w:val="24"/>
                <w:szCs w:val="24"/>
                <w:vertAlign w:val="baseline"/>
                <w:lang w:val="en-US" w:eastAsia="zh-CN"/>
              </w:rPr>
              <w:t>&gt;95%</w:t>
            </w:r>
          </w:p>
          <w:p w14:paraId="75CAFF62">
            <w:pPr>
              <w:pStyle w:val="166"/>
              <w:numPr>
                <w:ilvl w:val="3"/>
                <w:numId w:val="0"/>
              </w:numPr>
              <w:ind w:leftChars="0"/>
              <w:jc w:val="center"/>
              <w:rPr>
                <w:rFonts w:hint="default" w:ascii="Times New Roman" w:cs="Times New Roman"/>
                <w:sz w:val="24"/>
                <w:szCs w:val="24"/>
                <w:vertAlign w:val="baseline"/>
                <w:lang w:val="en-US" w:eastAsia="zh-CN"/>
              </w:rPr>
            </w:pPr>
            <w:r>
              <w:rPr>
                <w:rFonts w:hint="eastAsia" w:ascii="Times New Roman" w:cs="Times New Roman"/>
                <w:sz w:val="24"/>
                <w:szCs w:val="24"/>
                <w:vertAlign w:val="baseline"/>
                <w:lang w:val="en-US" w:eastAsia="zh-CN"/>
              </w:rPr>
              <w:t>500次</w:t>
            </w:r>
          </w:p>
        </w:tc>
        <w:tc>
          <w:tcPr>
            <w:tcW w:w="1494" w:type="dxa"/>
          </w:tcPr>
          <w:p w14:paraId="053F6734">
            <w:pPr>
              <w:pStyle w:val="166"/>
              <w:numPr>
                <w:ilvl w:val="3"/>
                <w:numId w:val="0"/>
              </w:numPr>
              <w:ind w:leftChars="0"/>
              <w:jc w:val="center"/>
              <w:rPr>
                <w:rFonts w:hint="eastAsia" w:ascii="Times New Roman" w:cs="Times New Roman"/>
                <w:sz w:val="24"/>
                <w:szCs w:val="24"/>
                <w:vertAlign w:val="baseline"/>
                <w:lang w:val="en-US" w:eastAsia="zh-CN"/>
              </w:rPr>
            </w:pPr>
            <w:r>
              <w:rPr>
                <w:rFonts w:hint="eastAsia" w:ascii="Times New Roman" w:cs="Times New Roman"/>
                <w:sz w:val="24"/>
                <w:szCs w:val="24"/>
                <w:vertAlign w:val="baseline"/>
                <w:lang w:val="en-US" w:eastAsia="zh-CN"/>
              </w:rPr>
              <w:t>1CmA充电</w:t>
            </w:r>
          </w:p>
          <w:p w14:paraId="153614FA">
            <w:pPr>
              <w:pStyle w:val="166"/>
              <w:numPr>
                <w:ilvl w:val="3"/>
                <w:numId w:val="0"/>
              </w:numPr>
              <w:ind w:leftChars="0"/>
              <w:jc w:val="center"/>
              <w:rPr>
                <w:rFonts w:hint="default"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2CmA放电</w:t>
            </w:r>
          </w:p>
        </w:tc>
      </w:tr>
      <w:tr w14:paraId="62EA2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497" w:type="dxa"/>
          </w:tcPr>
          <w:p w14:paraId="0B2AF4C3">
            <w:pPr>
              <w:pStyle w:val="166"/>
              <w:numPr>
                <w:ilvl w:val="3"/>
                <w:numId w:val="0"/>
              </w:numPr>
              <w:ind w:leftChars="0"/>
              <w:jc w:val="center"/>
              <w:rPr>
                <w:rFonts w:hint="default"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大电流放电时循环寿命</w:t>
            </w:r>
          </w:p>
        </w:tc>
        <w:tc>
          <w:tcPr>
            <w:tcW w:w="1208" w:type="dxa"/>
          </w:tcPr>
          <w:p w14:paraId="5599CA3B">
            <w:pPr>
              <w:pStyle w:val="166"/>
              <w:numPr>
                <w:ilvl w:val="3"/>
                <w:numId w:val="0"/>
              </w:numPr>
              <w:ind w:leftChars="0"/>
              <w:jc w:val="center"/>
              <w:rPr>
                <w:rFonts w:hint="eastAsia"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w:t>
            </w:r>
          </w:p>
        </w:tc>
        <w:tc>
          <w:tcPr>
            <w:tcW w:w="1441" w:type="dxa"/>
          </w:tcPr>
          <w:p w14:paraId="47F312E2">
            <w:pPr>
              <w:pStyle w:val="166"/>
              <w:numPr>
                <w:ilvl w:val="3"/>
                <w:numId w:val="0"/>
              </w:numPr>
              <w:ind w:leftChars="0"/>
              <w:jc w:val="center"/>
              <w:rPr>
                <w:rFonts w:hint="eastAsia" w:ascii="Times New Roman" w:cs="Times New Roman"/>
                <w:sz w:val="24"/>
                <w:szCs w:val="24"/>
                <w:vertAlign w:val="baseline"/>
                <w:lang w:val="en-US" w:eastAsia="zh-CN"/>
              </w:rPr>
            </w:pPr>
            <w:r>
              <w:rPr>
                <w:rFonts w:hint="eastAsia" w:ascii="Times New Roman" w:cs="Times New Roman"/>
                <w:sz w:val="24"/>
                <w:szCs w:val="24"/>
                <w:vertAlign w:val="baseline"/>
                <w:lang w:val="en-US" w:eastAsia="zh-CN"/>
              </w:rPr>
              <w:t>60%</w:t>
            </w:r>
          </w:p>
          <w:p w14:paraId="5442AA0C">
            <w:pPr>
              <w:pStyle w:val="166"/>
              <w:numPr>
                <w:ilvl w:val="3"/>
                <w:numId w:val="0"/>
              </w:numPr>
              <w:ind w:leftChars="0"/>
              <w:jc w:val="center"/>
              <w:rPr>
                <w:rFonts w:hint="default" w:ascii="Times New Roman" w:cs="Times New Roman"/>
                <w:sz w:val="24"/>
                <w:szCs w:val="24"/>
                <w:vertAlign w:val="baseline"/>
                <w:lang w:val="en-US" w:eastAsia="zh-CN"/>
              </w:rPr>
            </w:pPr>
            <w:r>
              <w:rPr>
                <w:rFonts w:hint="eastAsia" w:ascii="Times New Roman" w:cs="Times New Roman"/>
                <w:sz w:val="24"/>
                <w:szCs w:val="24"/>
                <w:vertAlign w:val="baseline"/>
                <w:lang w:val="en-US" w:eastAsia="zh-CN"/>
              </w:rPr>
              <w:t>300次</w:t>
            </w:r>
          </w:p>
        </w:tc>
        <w:tc>
          <w:tcPr>
            <w:tcW w:w="1441" w:type="dxa"/>
          </w:tcPr>
          <w:p w14:paraId="39E73AB5">
            <w:pPr>
              <w:pStyle w:val="166"/>
              <w:numPr>
                <w:ilvl w:val="3"/>
                <w:numId w:val="0"/>
              </w:numPr>
              <w:ind w:leftChars="0"/>
              <w:jc w:val="center"/>
              <w:rPr>
                <w:rFonts w:hint="eastAsia" w:ascii="Times New Roman" w:cs="Times New Roman"/>
                <w:sz w:val="24"/>
                <w:szCs w:val="24"/>
                <w:vertAlign w:val="baseline"/>
                <w:lang w:val="en-US" w:eastAsia="zh-CN"/>
              </w:rPr>
            </w:pPr>
            <w:r>
              <w:rPr>
                <w:rFonts w:hint="eastAsia" w:ascii="Times New Roman" w:cs="Times New Roman"/>
                <w:sz w:val="24"/>
                <w:szCs w:val="24"/>
                <w:vertAlign w:val="baseline"/>
                <w:lang w:val="en-US" w:eastAsia="zh-CN"/>
              </w:rPr>
              <w:t>&lt;50%</w:t>
            </w:r>
          </w:p>
          <w:p w14:paraId="591AE9D0">
            <w:pPr>
              <w:pStyle w:val="166"/>
              <w:numPr>
                <w:ilvl w:val="3"/>
                <w:numId w:val="0"/>
              </w:numPr>
              <w:ind w:leftChars="0"/>
              <w:jc w:val="center"/>
              <w:rPr>
                <w:rFonts w:hint="default" w:ascii="Times New Roman" w:cs="Times New Roman"/>
                <w:sz w:val="24"/>
                <w:szCs w:val="24"/>
                <w:vertAlign w:val="baseline"/>
                <w:lang w:val="en-US" w:eastAsia="zh-CN"/>
              </w:rPr>
            </w:pPr>
            <w:r>
              <w:rPr>
                <w:rFonts w:hint="eastAsia" w:ascii="Times New Roman" w:cs="Times New Roman"/>
                <w:sz w:val="24"/>
                <w:szCs w:val="24"/>
                <w:vertAlign w:val="baseline"/>
                <w:lang w:val="en-US" w:eastAsia="zh-CN"/>
              </w:rPr>
              <w:t>10次</w:t>
            </w:r>
          </w:p>
        </w:tc>
        <w:tc>
          <w:tcPr>
            <w:tcW w:w="1441" w:type="dxa"/>
          </w:tcPr>
          <w:p w14:paraId="7682D71B">
            <w:pPr>
              <w:pStyle w:val="166"/>
              <w:numPr>
                <w:ilvl w:val="3"/>
                <w:numId w:val="0"/>
              </w:numPr>
              <w:ind w:leftChars="0"/>
              <w:jc w:val="center"/>
              <w:rPr>
                <w:rFonts w:hint="eastAsia" w:ascii="Times New Roman" w:cs="Times New Roman"/>
                <w:sz w:val="24"/>
                <w:szCs w:val="24"/>
                <w:vertAlign w:val="baseline"/>
                <w:lang w:val="en-US" w:eastAsia="zh-CN"/>
              </w:rPr>
            </w:pPr>
            <w:r>
              <w:rPr>
                <w:rFonts w:hint="eastAsia" w:ascii="Times New Roman" w:cs="Times New Roman"/>
                <w:sz w:val="24"/>
                <w:szCs w:val="24"/>
                <w:vertAlign w:val="baseline"/>
                <w:lang w:val="en-US" w:eastAsia="zh-CN"/>
              </w:rPr>
              <w:t>&gt;80%</w:t>
            </w:r>
          </w:p>
          <w:p w14:paraId="3C3465EF">
            <w:pPr>
              <w:pStyle w:val="166"/>
              <w:numPr>
                <w:ilvl w:val="3"/>
                <w:numId w:val="0"/>
              </w:numPr>
              <w:ind w:leftChars="0"/>
              <w:jc w:val="center"/>
              <w:rPr>
                <w:rFonts w:hint="default" w:ascii="Times New Roman" w:cs="Times New Roman"/>
                <w:sz w:val="24"/>
                <w:szCs w:val="24"/>
                <w:vertAlign w:val="baseline"/>
                <w:lang w:val="en-US" w:eastAsia="zh-CN"/>
              </w:rPr>
            </w:pPr>
            <w:r>
              <w:rPr>
                <w:rFonts w:hint="eastAsia" w:ascii="Times New Roman" w:cs="Times New Roman"/>
                <w:sz w:val="24"/>
                <w:szCs w:val="24"/>
                <w:vertAlign w:val="baseline"/>
                <w:lang w:val="en-US" w:eastAsia="zh-CN"/>
              </w:rPr>
              <w:t>300次</w:t>
            </w:r>
          </w:p>
        </w:tc>
        <w:tc>
          <w:tcPr>
            <w:tcW w:w="1494" w:type="dxa"/>
          </w:tcPr>
          <w:p w14:paraId="55D650A0">
            <w:pPr>
              <w:pStyle w:val="166"/>
              <w:numPr>
                <w:ilvl w:val="3"/>
                <w:numId w:val="0"/>
              </w:numPr>
              <w:ind w:leftChars="0"/>
              <w:jc w:val="center"/>
              <w:rPr>
                <w:rFonts w:hint="eastAsia" w:ascii="Times New Roman" w:cs="Times New Roman"/>
                <w:sz w:val="24"/>
                <w:szCs w:val="24"/>
                <w:vertAlign w:val="baseline"/>
                <w:lang w:val="en-US" w:eastAsia="zh-CN"/>
              </w:rPr>
            </w:pPr>
            <w:r>
              <w:rPr>
                <w:rFonts w:hint="eastAsia" w:ascii="Times New Roman" w:cs="Times New Roman"/>
                <w:sz w:val="24"/>
                <w:szCs w:val="24"/>
                <w:vertAlign w:val="baseline"/>
                <w:lang w:val="en-US" w:eastAsia="zh-CN"/>
              </w:rPr>
              <w:t>1CmA充电</w:t>
            </w:r>
          </w:p>
          <w:p w14:paraId="2F42E2C4">
            <w:pPr>
              <w:pStyle w:val="166"/>
              <w:numPr>
                <w:ilvl w:val="3"/>
                <w:numId w:val="0"/>
              </w:numPr>
              <w:ind w:leftChars="0"/>
              <w:jc w:val="center"/>
              <w:rPr>
                <w:rFonts w:hint="default" w:ascii="Times New Roman" w:cs="Times New Roman"/>
                <w:sz w:val="24"/>
                <w:szCs w:val="24"/>
                <w:vertAlign w:val="baseline"/>
                <w:lang w:val="en-US" w:eastAsia="zh-CN"/>
              </w:rPr>
            </w:pPr>
            <w:r>
              <w:rPr>
                <w:rFonts w:hint="eastAsia" w:ascii="Times New Roman" w:cs="Times New Roman"/>
                <w:sz w:val="24"/>
                <w:szCs w:val="24"/>
                <w:vertAlign w:val="baseline"/>
                <w:lang w:val="en-US" w:eastAsia="zh-CN"/>
              </w:rPr>
              <w:t>5CmA放电</w:t>
            </w:r>
          </w:p>
        </w:tc>
      </w:tr>
      <w:tr w14:paraId="6ADA7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7" w:type="dxa"/>
          </w:tcPr>
          <w:p w14:paraId="541E70DF">
            <w:pPr>
              <w:pStyle w:val="166"/>
              <w:numPr>
                <w:ilvl w:val="3"/>
                <w:numId w:val="0"/>
              </w:numPr>
              <w:ind w:leftChars="0"/>
              <w:jc w:val="center"/>
              <w:rPr>
                <w:rFonts w:hint="eastAsia"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安全</w:t>
            </w:r>
          </w:p>
        </w:tc>
        <w:tc>
          <w:tcPr>
            <w:tcW w:w="1208" w:type="dxa"/>
          </w:tcPr>
          <w:p w14:paraId="6D65485C">
            <w:pPr>
              <w:pStyle w:val="166"/>
              <w:numPr>
                <w:ilvl w:val="3"/>
                <w:numId w:val="0"/>
              </w:numPr>
              <w:ind w:leftChars="0"/>
              <w:jc w:val="center"/>
              <w:rPr>
                <w:rFonts w:hint="default"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有可能燃烧、爆炸</w:t>
            </w:r>
          </w:p>
        </w:tc>
        <w:tc>
          <w:tcPr>
            <w:tcW w:w="1441" w:type="dxa"/>
          </w:tcPr>
          <w:p w14:paraId="44198707">
            <w:pPr>
              <w:pStyle w:val="166"/>
              <w:numPr>
                <w:ilvl w:val="3"/>
                <w:numId w:val="0"/>
              </w:numPr>
              <w:ind w:leftChars="0"/>
              <w:jc w:val="center"/>
              <w:rPr>
                <w:rFonts w:hint="default"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有可能燃烧、爆炸</w:t>
            </w:r>
          </w:p>
        </w:tc>
        <w:tc>
          <w:tcPr>
            <w:tcW w:w="1441" w:type="dxa"/>
          </w:tcPr>
          <w:p w14:paraId="0DB14A6C">
            <w:pPr>
              <w:pStyle w:val="166"/>
              <w:numPr>
                <w:ilvl w:val="3"/>
                <w:numId w:val="0"/>
              </w:numPr>
              <w:ind w:leftChars="0"/>
              <w:jc w:val="center"/>
              <w:rPr>
                <w:rFonts w:hint="default"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有可能燃烧</w:t>
            </w:r>
          </w:p>
        </w:tc>
        <w:tc>
          <w:tcPr>
            <w:tcW w:w="1441" w:type="dxa"/>
          </w:tcPr>
          <w:p w14:paraId="29783783">
            <w:pPr>
              <w:pStyle w:val="166"/>
              <w:numPr>
                <w:ilvl w:val="3"/>
                <w:numId w:val="0"/>
              </w:numPr>
              <w:ind w:leftChars="0"/>
              <w:jc w:val="center"/>
              <w:rPr>
                <w:rFonts w:hint="default"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不燃烧、不爆炸</w:t>
            </w:r>
          </w:p>
        </w:tc>
        <w:tc>
          <w:tcPr>
            <w:tcW w:w="1494" w:type="dxa"/>
          </w:tcPr>
          <w:p w14:paraId="00D99DDA">
            <w:pPr>
              <w:pStyle w:val="166"/>
              <w:numPr>
                <w:ilvl w:val="3"/>
                <w:numId w:val="0"/>
              </w:numPr>
              <w:ind w:leftChars="0"/>
              <w:jc w:val="center"/>
              <w:rPr>
                <w:rFonts w:hint="default" w:ascii="Times New Roman" w:cs="Times New Roman"/>
                <w:sz w:val="24"/>
                <w:szCs w:val="24"/>
                <w:vertAlign w:val="baseline"/>
                <w:lang w:val="en-US" w:eastAsia="zh-CN"/>
              </w:rPr>
            </w:pPr>
            <w:r>
              <w:rPr>
                <w:rFonts w:hint="eastAsia" w:ascii="Times New Roman" w:cs="Times New Roman"/>
                <w:sz w:val="24"/>
                <w:szCs w:val="24"/>
                <w:vertAlign w:val="baseline"/>
                <w:lang w:val="en-US" w:eastAsia="zh-CN"/>
              </w:rPr>
              <w:t>-</w:t>
            </w:r>
          </w:p>
        </w:tc>
      </w:tr>
      <w:tr w14:paraId="4F2C9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97" w:type="dxa"/>
          </w:tcPr>
          <w:p w14:paraId="63C9D0BF">
            <w:pPr>
              <w:pStyle w:val="166"/>
              <w:numPr>
                <w:ilvl w:val="3"/>
                <w:numId w:val="0"/>
              </w:numPr>
              <w:ind w:leftChars="0"/>
              <w:jc w:val="center"/>
              <w:rPr>
                <w:rFonts w:hint="default"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零电压存储30天</w:t>
            </w:r>
          </w:p>
        </w:tc>
        <w:tc>
          <w:tcPr>
            <w:tcW w:w="1208" w:type="dxa"/>
          </w:tcPr>
          <w:p w14:paraId="44EA1D20">
            <w:pPr>
              <w:pStyle w:val="166"/>
              <w:numPr>
                <w:ilvl w:val="3"/>
                <w:numId w:val="0"/>
              </w:numPr>
              <w:ind w:leftChars="0"/>
              <w:jc w:val="center"/>
              <w:rPr>
                <w:rFonts w:hint="default" w:ascii="Times New Roman" w:hAnsi="Times New Roman" w:cs="Times New Roman"/>
                <w:sz w:val="24"/>
                <w:szCs w:val="24"/>
                <w:vertAlign w:val="baseline"/>
              </w:rPr>
            </w:pPr>
            <w:r>
              <w:rPr>
                <w:rFonts w:hint="eastAsia" w:ascii="Times New Roman" w:cs="Times New Roman"/>
                <w:sz w:val="24"/>
                <w:szCs w:val="24"/>
                <w:vertAlign w:val="baseline"/>
                <w:lang w:val="en-US" w:eastAsia="zh-CN"/>
              </w:rPr>
              <w:t>泄漏、损失</w:t>
            </w:r>
          </w:p>
        </w:tc>
        <w:tc>
          <w:tcPr>
            <w:tcW w:w="1441" w:type="dxa"/>
          </w:tcPr>
          <w:p w14:paraId="78DE6986">
            <w:pPr>
              <w:pStyle w:val="166"/>
              <w:numPr>
                <w:ilvl w:val="3"/>
                <w:numId w:val="0"/>
              </w:numPr>
              <w:ind w:leftChars="0"/>
              <w:jc w:val="center"/>
              <w:rPr>
                <w:rFonts w:hint="default"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泄漏、损失</w:t>
            </w:r>
          </w:p>
        </w:tc>
        <w:tc>
          <w:tcPr>
            <w:tcW w:w="1441" w:type="dxa"/>
          </w:tcPr>
          <w:p w14:paraId="73715E38">
            <w:pPr>
              <w:pStyle w:val="166"/>
              <w:numPr>
                <w:ilvl w:val="3"/>
                <w:numId w:val="0"/>
              </w:numPr>
              <w:ind w:leftChars="0"/>
              <w:jc w:val="center"/>
              <w:rPr>
                <w:rFonts w:hint="default" w:ascii="Times New Roman" w:hAnsi="Times New Roman" w:cs="Times New Roman"/>
                <w:sz w:val="24"/>
                <w:szCs w:val="24"/>
                <w:vertAlign w:val="baseline"/>
              </w:rPr>
            </w:pPr>
            <w:r>
              <w:rPr>
                <w:rFonts w:hint="eastAsia" w:ascii="Times New Roman" w:cs="Times New Roman"/>
                <w:sz w:val="24"/>
                <w:szCs w:val="24"/>
                <w:vertAlign w:val="baseline"/>
                <w:lang w:val="en-US" w:eastAsia="zh-CN"/>
              </w:rPr>
              <w:t>泄漏、损失</w:t>
            </w:r>
          </w:p>
        </w:tc>
        <w:tc>
          <w:tcPr>
            <w:tcW w:w="1441" w:type="dxa"/>
          </w:tcPr>
          <w:p w14:paraId="77E88498">
            <w:pPr>
              <w:pStyle w:val="166"/>
              <w:numPr>
                <w:ilvl w:val="3"/>
                <w:numId w:val="0"/>
              </w:numPr>
              <w:ind w:leftChars="0"/>
              <w:jc w:val="center"/>
              <w:rPr>
                <w:rFonts w:hint="default" w:ascii="Times New Roman" w:hAnsi="Times New Roman" w:cs="Times New Roman"/>
                <w:sz w:val="24"/>
                <w:szCs w:val="24"/>
                <w:vertAlign w:val="baseline"/>
              </w:rPr>
            </w:pPr>
            <w:r>
              <w:rPr>
                <w:rFonts w:hint="eastAsia" w:ascii="Times New Roman" w:cs="Times New Roman"/>
                <w:sz w:val="24"/>
                <w:szCs w:val="24"/>
                <w:vertAlign w:val="baseline"/>
                <w:lang w:val="en-US" w:eastAsia="zh-CN"/>
              </w:rPr>
              <w:t>无损失</w:t>
            </w:r>
          </w:p>
        </w:tc>
        <w:tc>
          <w:tcPr>
            <w:tcW w:w="1494" w:type="dxa"/>
          </w:tcPr>
          <w:p w14:paraId="48A2FDE1">
            <w:pPr>
              <w:pStyle w:val="166"/>
              <w:numPr>
                <w:ilvl w:val="3"/>
                <w:numId w:val="0"/>
              </w:numPr>
              <w:ind w:leftChars="0"/>
              <w:jc w:val="center"/>
              <w:rPr>
                <w:rFonts w:hint="eastAsia" w:ascii="Times New Roman" w:hAnsi="Times New Roman" w:eastAsia="宋体" w:cs="Times New Roman"/>
                <w:sz w:val="24"/>
                <w:szCs w:val="24"/>
                <w:vertAlign w:val="baseline"/>
                <w:lang w:val="en-US" w:eastAsia="zh-CN"/>
              </w:rPr>
            </w:pPr>
            <w:r>
              <w:rPr>
                <w:rFonts w:hint="eastAsia" w:ascii="Times New Roman" w:cs="Times New Roman"/>
                <w:sz w:val="24"/>
                <w:szCs w:val="24"/>
                <w:vertAlign w:val="baseline"/>
                <w:lang w:val="en-US" w:eastAsia="zh-CN"/>
              </w:rPr>
              <w:t>-</w:t>
            </w:r>
          </w:p>
        </w:tc>
      </w:tr>
    </w:tbl>
    <w:p w14:paraId="15C24FD2">
      <w:pPr>
        <w:pStyle w:val="4"/>
        <w:keepNext w:val="0"/>
        <w:keepLines w:val="0"/>
        <w:pageBreakBefore w:val="0"/>
        <w:widowControl/>
        <w:numPr>
          <w:ilvl w:val="0"/>
          <w:numId w:val="0"/>
        </w:numPr>
        <w:kinsoku/>
        <w:wordWrap/>
        <w:overflowPunct/>
        <w:topLinePunct w:val="0"/>
        <w:autoSpaceDE w:val="0"/>
        <w:autoSpaceDN w:val="0"/>
        <w:bidi w:val="0"/>
        <w:adjustRightInd/>
        <w:snapToGrid/>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比较选择磷酸铁锂电池，对动力电池的工作环境、功能、外观结构应满足说明标准进行定义。电池分为单体电池、模块电池、电池标准箱，</w:t>
      </w:r>
      <w:r>
        <w:rPr>
          <w:rFonts w:hint="eastAsia" w:cs="宋体"/>
          <w:sz w:val="28"/>
          <w:szCs w:val="28"/>
          <w:lang w:val="en-US" w:eastAsia="zh-CN"/>
        </w:rPr>
        <w:t>依据煤炭行业对于动力电池的规格尺寸的限制与要求，参考国家标准中关于</w:t>
      </w:r>
      <w:r>
        <w:rPr>
          <w:rFonts w:hint="eastAsia" w:ascii="宋体" w:hAnsi="宋体" w:eastAsia="宋体" w:cs="宋体"/>
          <w:sz w:val="28"/>
          <w:szCs w:val="28"/>
          <w:lang w:val="en-US" w:eastAsia="zh-CN"/>
        </w:rPr>
        <w:t>电池模块和标准箱的</w:t>
      </w:r>
      <w:r>
        <w:rPr>
          <w:rFonts w:hint="eastAsia" w:cs="宋体"/>
          <w:sz w:val="28"/>
          <w:szCs w:val="28"/>
          <w:lang w:val="en-US" w:eastAsia="zh-CN"/>
        </w:rPr>
        <w:t>典型</w:t>
      </w:r>
      <w:r>
        <w:rPr>
          <w:rFonts w:hint="eastAsia" w:ascii="宋体" w:hAnsi="宋体" w:eastAsia="宋体" w:cs="宋体"/>
          <w:sz w:val="28"/>
          <w:szCs w:val="28"/>
          <w:lang w:val="en-US" w:eastAsia="zh-CN"/>
        </w:rPr>
        <w:t>规格尺寸</w:t>
      </w:r>
      <w:r>
        <w:rPr>
          <w:rFonts w:hint="eastAsia" w:cs="宋体"/>
          <w:sz w:val="28"/>
          <w:szCs w:val="28"/>
          <w:lang w:val="en-US" w:eastAsia="zh-CN"/>
        </w:rPr>
        <w:t>的推荐以及结合煤矿井下电动辅助运输车辆的实际工作需求和煤矿井下实际工作需要等实际情况，综合评判，推荐5种电池模块规格尺寸</w:t>
      </w:r>
      <w:r>
        <w:rPr>
          <w:rFonts w:hint="eastAsia" w:ascii="宋体" w:hAnsi="宋体" w:eastAsia="宋体" w:cs="宋体"/>
          <w:sz w:val="28"/>
          <w:szCs w:val="28"/>
          <w:lang w:val="en-US" w:eastAsia="zh-CN"/>
        </w:rPr>
        <w:t>和2种</w:t>
      </w:r>
      <w:r>
        <w:rPr>
          <w:rFonts w:hint="eastAsia" w:cs="宋体"/>
          <w:sz w:val="28"/>
          <w:szCs w:val="28"/>
          <w:lang w:val="en-US" w:eastAsia="zh-CN"/>
        </w:rPr>
        <w:t>电池标准箱规格尺寸</w:t>
      </w:r>
      <w:r>
        <w:rPr>
          <w:rFonts w:hint="eastAsia" w:ascii="宋体" w:hAnsi="宋体" w:eastAsia="宋体" w:cs="宋体"/>
          <w:sz w:val="28"/>
          <w:szCs w:val="28"/>
          <w:lang w:val="en-US" w:eastAsia="zh-CN"/>
        </w:rPr>
        <w:t>。再分别讲述单体电池、模块电池、电池标准箱的性能指标参数，动力电池容量范围应该在10Ah以上，不超过230Ah。</w:t>
      </w:r>
    </w:p>
    <w:p w14:paraId="7AA8A791">
      <w:pPr>
        <w:pStyle w:val="4"/>
        <w:numPr>
          <w:ilvl w:val="0"/>
          <w:numId w:val="0"/>
        </w:num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动力电池接口：从通用要求、电池充电接口、电池放电接口、BMS接口分别讲述接口的相关要求，在通用要求处写了接口的一般要求、结构要求、型式与尺寸、锁止装置、控制电路电器和开关元件、插拔力、防触电保护、表面温度、性能要求进行规范。充电接口包括充电插座，充电插头，充电接口除满足接口的通用要求外还需先连接保护接地端子，最后连接控制确认端子。放电接口包括放电插座和放电插头。BMS接口的硬件接口要求包括接口类型、传输速率、信号质量、接口数量、电源要求、安全性和接口安装位置。</w:t>
      </w:r>
    </w:p>
    <w:p w14:paraId="37C20F82">
      <w:pPr>
        <w:pStyle w:val="4"/>
        <w:numPr>
          <w:ilvl w:val="0"/>
          <w:numId w:val="0"/>
        </w:numPr>
        <w:ind w:firstLine="560" w:firstLineChars="200"/>
        <w:rPr>
          <w:rFonts w:hint="default" w:cs="宋体"/>
          <w:sz w:val="28"/>
          <w:szCs w:val="28"/>
          <w:lang w:val="en-US" w:eastAsia="zh-CN"/>
        </w:rPr>
      </w:pPr>
      <w:r>
        <w:rPr>
          <w:rFonts w:hint="eastAsia" w:cs="宋体"/>
          <w:sz w:val="28"/>
          <w:szCs w:val="28"/>
          <w:lang w:val="en-US" w:eastAsia="zh-CN"/>
        </w:rPr>
        <w:t>动力电池的防爆和防护：首先针对煤矿井下用动力电池的防爆防护、铭牌与标志、电气防护的安全性能方面的一般要求，其次对单体电池、电池模块、电池标准箱通用的试验基本要求及安全性能测试的测试方法进行统一说明及规定。其次根据以上三者的工作作用与特点的不同，分别规定在正式投入工作生产前所必须经过的测试，以及测试后的状态要求。安全性能测试主要涉及到环境适应性试验、防爆安全试验等。</w:t>
      </w:r>
    </w:p>
    <w:p w14:paraId="683564F5">
      <w:pPr>
        <w:pStyle w:val="4"/>
        <w:numPr>
          <w:ilvl w:val="0"/>
          <w:numId w:val="0"/>
        </w:numPr>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其他：针对标准内容中必要的但并未提及的部分和内容进行补充说明。</w:t>
      </w:r>
    </w:p>
    <w:p w14:paraId="1A9A2103">
      <w:pPr>
        <w:pStyle w:val="5"/>
        <w:numPr>
          <w:ilvl w:val="2"/>
          <w:numId w:val="0"/>
        </w:numPr>
        <w:bidi w:val="0"/>
        <w:spacing w:line="240" w:lineRule="auto"/>
        <w:ind w:firstLine="560" w:firstLineChars="200"/>
        <w:rPr>
          <w:rFonts w:hint="eastAsia" w:ascii="宋体" w:hAnsi="宋体" w:eastAsia="宋体" w:cs="宋体"/>
          <w:sz w:val="28"/>
          <w:szCs w:val="28"/>
          <w:lang w:val="en-US" w:eastAsia="zh-CN"/>
        </w:rPr>
      </w:pPr>
      <w:bookmarkStart w:id="11" w:name="_Toc19920"/>
      <w:r>
        <w:rPr>
          <w:rFonts w:hint="eastAsia" w:ascii="宋体" w:hAnsi="宋体" w:cs="宋体"/>
          <w:sz w:val="28"/>
          <w:szCs w:val="28"/>
          <w:lang w:val="en-US" w:eastAsia="zh-CN"/>
        </w:rPr>
        <w:t>（三）</w:t>
      </w:r>
      <w:r>
        <w:rPr>
          <w:rFonts w:hint="eastAsia" w:ascii="宋体" w:hAnsi="宋体" w:eastAsia="宋体" w:cs="宋体"/>
          <w:sz w:val="28"/>
          <w:szCs w:val="28"/>
          <w:lang w:val="en-US" w:eastAsia="zh-CN"/>
        </w:rPr>
        <w:t>确定依据</w:t>
      </w:r>
      <w:bookmarkEnd w:id="11"/>
    </w:p>
    <w:p w14:paraId="790766DC">
      <w:pPr>
        <w:ind w:firstLine="560" w:firstLineChars="200"/>
        <w:rPr>
          <w:rFonts w:hint="eastAsia"/>
        </w:rPr>
      </w:pPr>
      <w:bookmarkStart w:id="12" w:name="_Toc30047"/>
      <w:r>
        <w:rPr>
          <w:rFonts w:hint="eastAsia"/>
        </w:rPr>
        <w:t>标准编写的格式及内容符合GB/T 1.1-2020《标准化工作导则 第1部分：标准化文件的结构和起草规则》的规定要求编写。并力求标准具备“简洁性、通用性、规范性、专业性和可扩展性”的特点，本标准主要参考了《煤矿安全规程》（2016年2月25日国家安全生产监督管理总局第87号 公布，自2016年10月1日起施行；根据2022年1月6日应急管理部令第8号修正）、《煤矿防爆锂电池动力电源充电安全技术规范》（T/CCS 025-2023）、电动汽车用动力蓄电池安全要求（GB 38031-2020）等涉及煤矿安全生产、动力蓄电池安全技术要求、</w:t>
      </w:r>
      <w:r>
        <w:rPr>
          <w:rFonts w:hint="eastAsia"/>
          <w:lang w:val="en-US" w:eastAsia="zh-CN"/>
        </w:rPr>
        <w:t>新能源</w:t>
      </w:r>
      <w:r>
        <w:rPr>
          <w:rFonts w:hint="eastAsia"/>
        </w:rPr>
        <w:t>行业等多个相关行业的众多规范性要求。</w:t>
      </w:r>
    </w:p>
    <w:p w14:paraId="64E88C24">
      <w:pPr>
        <w:pStyle w:val="2"/>
        <w:numPr>
          <w:ilvl w:val="1"/>
          <w:numId w:val="0"/>
        </w:numPr>
        <w:bidi w:val="0"/>
        <w:spacing w:line="240" w:lineRule="auto"/>
        <w:ind w:leftChars="0"/>
        <w:rPr>
          <w:rFonts w:hint="eastAsia"/>
          <w:b/>
          <w:bCs w:val="0"/>
          <w:sz w:val="28"/>
          <w:szCs w:val="28"/>
          <w:lang w:val="en-US" w:eastAsia="zh-CN"/>
        </w:rPr>
      </w:pPr>
      <w:r>
        <w:rPr>
          <w:rFonts w:hint="eastAsia"/>
          <w:b/>
          <w:bCs w:val="0"/>
          <w:sz w:val="28"/>
          <w:szCs w:val="28"/>
          <w:lang w:val="en-US" w:eastAsia="zh-CN"/>
        </w:rPr>
        <w:t>四、主要实验（验证）的分析、综述报告、技术经济论证，预期的经济效果</w:t>
      </w:r>
      <w:bookmarkEnd w:id="12"/>
    </w:p>
    <w:p w14:paraId="775338FC">
      <w:pPr>
        <w:ind w:firstLine="560" w:firstLineChars="200"/>
        <w:rPr>
          <w:rFonts w:hint="eastAsia"/>
        </w:rPr>
      </w:pPr>
      <w:bookmarkStart w:id="13" w:name="_Toc26443"/>
      <w:r>
        <w:rPr>
          <w:rFonts w:hint="eastAsia"/>
        </w:rPr>
        <w:t>根据GB/T 1.12009对标准编写的要求进行梳理，从目标和基本要求入手，从标准的结构、体系和框架构建进行研究，针对煤矿井下充电换能站用动力电池的技术要求、安全要求及试验方法提出具体的要求。</w:t>
      </w:r>
    </w:p>
    <w:p w14:paraId="53093028">
      <w:pPr>
        <w:rPr>
          <w:rFonts w:hint="eastAsia"/>
        </w:rPr>
      </w:pPr>
      <w:r>
        <w:rPr>
          <w:rFonts w:hint="eastAsia"/>
        </w:rPr>
        <w:t xml:space="preserve">  </w:t>
      </w:r>
      <w:r>
        <w:rPr>
          <w:rFonts w:hint="eastAsia"/>
          <w:lang w:val="en-US" w:eastAsia="zh-CN"/>
        </w:rPr>
        <w:t xml:space="preserve">  </w:t>
      </w:r>
      <w:r>
        <w:rPr>
          <w:rFonts w:hint="eastAsia"/>
        </w:rPr>
        <w:t>通过调研现有的动力电池规格尺寸、安全要求、技术要求等相关的数据参数、标准规范并结合煤矿井下特殊工作环境及安全和技术方面的国家标准和行业标准情况，经过整合分析，从标准体系覆盖范围、体系关系、标准的技术高度等宏观层面对本标准进行了体系定位，并确定了标准的适用范围。</w:t>
      </w:r>
    </w:p>
    <w:p w14:paraId="749C2473">
      <w:pPr>
        <w:rPr>
          <w:rFonts w:hint="eastAsia"/>
        </w:rPr>
      </w:pPr>
      <w:r>
        <w:rPr>
          <w:rFonts w:hint="eastAsia"/>
        </w:rPr>
        <w:t xml:space="preserve">  </w:t>
      </w:r>
      <w:r>
        <w:rPr>
          <w:rFonts w:hint="eastAsia"/>
          <w:lang w:val="en-US" w:eastAsia="zh-CN"/>
        </w:rPr>
        <w:t xml:space="preserve">  </w:t>
      </w:r>
      <w:r>
        <w:rPr>
          <w:rFonts w:hint="eastAsia"/>
        </w:rPr>
        <w:t>在标准制定过程中，采用实地考察、调研、研讨、统计分析等方法，以成果为支撑，经过反复补充、修改、完善后形成最终文稿。</w:t>
      </w:r>
    </w:p>
    <w:p w14:paraId="6758254C">
      <w:pPr>
        <w:rPr>
          <w:rFonts w:hint="eastAsia"/>
        </w:rPr>
      </w:pPr>
      <w:r>
        <w:rPr>
          <w:rFonts w:hint="eastAsia"/>
        </w:rPr>
        <w:t xml:space="preserve">  </w:t>
      </w:r>
      <w:r>
        <w:rPr>
          <w:rFonts w:hint="eastAsia"/>
          <w:lang w:val="en-US" w:eastAsia="zh-CN"/>
        </w:rPr>
        <w:t xml:space="preserve">  </w:t>
      </w:r>
      <w:r>
        <w:rPr>
          <w:rFonts w:hint="eastAsia"/>
        </w:rPr>
        <w:t>标准体现了标注化的行业统一性、普遍参考性、创新型和可操作性，对于煤矿井下充电换能站用动力电池技术要求规范的制定具有重要的指导作用。通过该标准的推行与执行，有利于提高资源利用率，节约资源，保护环境，有利于提高煤矿井下施工的安全性，保证煤矿企业和煤矿工人的生命与财产安全，提高煤矿行业的竞争力。因此标准实施产生的经济、社会及环境效益显著。</w:t>
      </w:r>
    </w:p>
    <w:p w14:paraId="2B69456D">
      <w:pPr>
        <w:pStyle w:val="2"/>
        <w:numPr>
          <w:ilvl w:val="1"/>
          <w:numId w:val="0"/>
        </w:numPr>
        <w:bidi w:val="0"/>
        <w:spacing w:line="240" w:lineRule="auto"/>
        <w:ind w:leftChars="0"/>
        <w:rPr>
          <w:rFonts w:hint="eastAsia"/>
          <w:b/>
          <w:bCs w:val="0"/>
          <w:sz w:val="28"/>
          <w:szCs w:val="28"/>
          <w:lang w:val="en-US" w:eastAsia="zh-CN"/>
        </w:rPr>
      </w:pPr>
      <w:r>
        <w:rPr>
          <w:rFonts w:hint="eastAsia"/>
          <w:b/>
          <w:bCs w:val="0"/>
          <w:sz w:val="28"/>
          <w:szCs w:val="28"/>
          <w:lang w:val="en-US" w:eastAsia="zh-CN"/>
        </w:rPr>
        <w:t>五、采用国际标准的程度及水平的简要说明</w:t>
      </w:r>
      <w:bookmarkEnd w:id="13"/>
    </w:p>
    <w:p w14:paraId="180CE842">
      <w:pPr>
        <w:pStyle w:val="5"/>
        <w:numPr>
          <w:ilvl w:val="2"/>
          <w:numId w:val="0"/>
        </w:numPr>
        <w:bidi w:val="0"/>
        <w:spacing w:line="240" w:lineRule="auto"/>
        <w:ind w:leftChars="0" w:firstLine="560" w:firstLineChars="200"/>
        <w:rPr>
          <w:rFonts w:hint="eastAsia"/>
          <w:sz w:val="28"/>
          <w:szCs w:val="28"/>
          <w:lang w:val="en-US" w:eastAsia="zh-CN"/>
        </w:rPr>
      </w:pPr>
      <w:bookmarkStart w:id="14" w:name="_Toc28332"/>
      <w:r>
        <w:rPr>
          <w:rFonts w:hint="eastAsia"/>
          <w:sz w:val="28"/>
          <w:szCs w:val="28"/>
          <w:lang w:val="en-US" w:eastAsia="zh-CN"/>
        </w:rPr>
        <w:t>（一）采用国际标准的程度</w:t>
      </w:r>
      <w:bookmarkEnd w:id="14"/>
      <w:bookmarkStart w:id="15" w:name="_Toc15434"/>
    </w:p>
    <w:p w14:paraId="5E124E98">
      <w:pPr>
        <w:pStyle w:val="4"/>
        <w:ind w:firstLine="420"/>
        <w:rPr>
          <w:rFonts w:hint="eastAsia" w:ascii="Times New Roman" w:hAnsi="Times New Roman" w:eastAsia="宋体" w:cs="Times New Roman"/>
          <w:sz w:val="28"/>
          <w:szCs w:val="28"/>
          <w:lang w:val="en-US" w:eastAsia="zh-CN"/>
        </w:rPr>
      </w:pPr>
      <w:r>
        <w:rPr>
          <w:rFonts w:hint="eastAsia"/>
          <w:sz w:val="28"/>
          <w:szCs w:val="28"/>
        </w:rPr>
        <w:t>本标准在编写过程中</w:t>
      </w:r>
      <w:r>
        <w:rPr>
          <w:rFonts w:hint="eastAsia"/>
          <w:sz w:val="28"/>
          <w:szCs w:val="28"/>
          <w:lang w:val="en-US" w:eastAsia="zh-CN"/>
        </w:rPr>
        <w:t>参考了国际标准</w:t>
      </w:r>
      <w:r>
        <w:rPr>
          <w:rFonts w:hint="default" w:ascii="Times New Roman" w:hAnsi="Times New Roman" w:cs="Times New Roman"/>
          <w:sz w:val="28"/>
          <w:szCs w:val="28"/>
          <w:lang w:val="en-US" w:eastAsia="zh-CN"/>
        </w:rPr>
        <w:t>ISO4521:2008</w:t>
      </w:r>
      <w:r>
        <w:rPr>
          <w:rFonts w:hint="eastAsia" w:ascii="Times New Roman" w:hAnsi="Times New Roman" w:cs="Times New Roman"/>
          <w:sz w:val="28"/>
          <w:szCs w:val="28"/>
          <w:lang w:val="en-US" w:eastAsia="zh-CN"/>
        </w:rPr>
        <w:t xml:space="preserve"> </w:t>
      </w:r>
      <w:r>
        <w:rPr>
          <w:rFonts w:hint="default" w:ascii="Times New Roman" w:hAnsi="Times New Roman" w:eastAsia="Segoe UI" w:cs="Times New Roman"/>
          <w:i w:val="0"/>
          <w:iCs w:val="0"/>
          <w:caps w:val="0"/>
          <w:color w:val="1A2029"/>
          <w:spacing w:val="0"/>
          <w:sz w:val="28"/>
          <w:szCs w:val="28"/>
          <w:shd w:val="clear" w:fill="FFFFFF"/>
        </w:rPr>
        <w:t>“Metallic and other inorganic coatings — Electrodeposited silver and silver alloy coatings for engineering purposes — Specification and test methods”</w:t>
      </w:r>
      <w:r>
        <w:rPr>
          <w:rFonts w:hint="eastAsia" w:ascii="Times New Roman" w:hAnsi="Times New Roman" w:eastAsia="宋体" w:cs="Times New Roman"/>
          <w:i w:val="0"/>
          <w:iCs w:val="0"/>
          <w:caps w:val="0"/>
          <w:color w:val="1A2029"/>
          <w:spacing w:val="0"/>
          <w:sz w:val="28"/>
          <w:szCs w:val="28"/>
          <w:shd w:val="clear" w:fill="FFFFFF"/>
          <w:lang w:eastAsia="zh-CN"/>
        </w:rPr>
        <w:t>。</w:t>
      </w:r>
    </w:p>
    <w:p w14:paraId="5A45D6FF">
      <w:pPr>
        <w:pStyle w:val="5"/>
        <w:numPr>
          <w:ilvl w:val="2"/>
          <w:numId w:val="0"/>
        </w:numPr>
        <w:bidi w:val="0"/>
        <w:spacing w:line="240" w:lineRule="auto"/>
        <w:ind w:leftChars="0" w:firstLine="560" w:firstLineChars="200"/>
        <w:rPr>
          <w:rFonts w:hint="eastAsia"/>
          <w:sz w:val="28"/>
          <w:szCs w:val="28"/>
          <w:lang w:val="en-US" w:eastAsia="zh-CN"/>
        </w:rPr>
      </w:pPr>
      <w:r>
        <w:rPr>
          <w:rFonts w:hint="eastAsia"/>
          <w:sz w:val="28"/>
          <w:szCs w:val="28"/>
          <w:lang w:val="en-US" w:eastAsia="zh-CN"/>
        </w:rPr>
        <w:t>（二）与国际标准水平的对比</w:t>
      </w:r>
      <w:bookmarkEnd w:id="15"/>
    </w:p>
    <w:p w14:paraId="6A1B608F">
      <w:pPr>
        <w:pStyle w:val="163"/>
        <w:numPr>
          <w:ilvl w:val="2"/>
          <w:numId w:val="0"/>
        </w:numPr>
        <w:bidi w:val="0"/>
        <w:ind w:leftChars="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 xml:space="preserve">   </w:t>
      </w:r>
      <w:r>
        <w:rPr>
          <w:rFonts w:hint="eastAsia" w:hAnsi="宋体" w:cs="宋体"/>
          <w:sz w:val="28"/>
          <w:szCs w:val="28"/>
          <w:lang w:val="en-US" w:eastAsia="zh-CN"/>
        </w:rPr>
        <w:t>本标准在动力电池充电接口的出头表面镀层方面的要求规范，与国际标准保持一致，在其他电气设备元件、安全性能试验方法等方面的选择上结合了国内煤炭行业的实际情况做出了调整。</w:t>
      </w:r>
    </w:p>
    <w:p w14:paraId="1C4BD74D">
      <w:pPr>
        <w:pStyle w:val="5"/>
        <w:numPr>
          <w:ilvl w:val="2"/>
          <w:numId w:val="0"/>
        </w:numPr>
        <w:bidi w:val="0"/>
        <w:spacing w:line="240" w:lineRule="auto"/>
        <w:ind w:leftChars="0" w:firstLine="560" w:firstLineChars="200"/>
        <w:rPr>
          <w:rFonts w:hint="eastAsia"/>
          <w:sz w:val="28"/>
          <w:szCs w:val="28"/>
          <w:lang w:val="en-US" w:eastAsia="zh-CN"/>
        </w:rPr>
      </w:pPr>
      <w:bookmarkStart w:id="16" w:name="_Toc30365"/>
      <w:r>
        <w:rPr>
          <w:rFonts w:hint="eastAsia"/>
          <w:sz w:val="28"/>
          <w:szCs w:val="28"/>
          <w:lang w:val="en-US" w:eastAsia="zh-CN"/>
        </w:rPr>
        <w:t>（三）结论</w:t>
      </w:r>
      <w:bookmarkEnd w:id="16"/>
    </w:p>
    <w:p w14:paraId="7D274400">
      <w:pPr>
        <w:pStyle w:val="4"/>
        <w:ind w:firstLine="420"/>
        <w:rPr>
          <w:rFonts w:hint="default" w:ascii="宋体" w:hAnsi="宋体" w:eastAsia="宋体" w:cs="宋体"/>
          <w:color w:val="E54C5E" w:themeColor="accent6"/>
          <w:sz w:val="28"/>
          <w:szCs w:val="28"/>
          <w:lang w:val="en-US" w:eastAsia="zh-CN"/>
          <w14:textFill>
            <w14:solidFill>
              <w14:schemeClr w14:val="accent6"/>
            </w14:solidFill>
          </w14:textFill>
        </w:rPr>
      </w:pPr>
      <w:r>
        <w:rPr>
          <w:rFonts w:hint="eastAsia" w:cs="宋体"/>
          <w:sz w:val="28"/>
          <w:szCs w:val="28"/>
          <w:lang w:val="en-US" w:eastAsia="zh-CN"/>
        </w:rPr>
        <w:t>综上所述，国际标准与国内标准的标准体系在本标准涉及的领域都存在缺失，因此本标准在制定过程中参考了少量国际标准，故而本标准的制定具有开创性的意义。本标准的制定体现了我国煤炭行业的技术发展与进步，同时填补了相关领域标准规范的空缺。通过本标准的实施，预计将提升我国煤矿井下充电换能站用动力电池及接口规格尺寸、技术要求、安全性能及试验方法规范的水平，保障矿工生命安全，同时为国际矿业相关标准规范的完善和发展贡献了中国经验和中国智慧。</w:t>
      </w:r>
    </w:p>
    <w:p w14:paraId="1B70FEF2">
      <w:pPr>
        <w:pStyle w:val="2"/>
        <w:numPr>
          <w:ilvl w:val="1"/>
          <w:numId w:val="0"/>
        </w:numPr>
        <w:bidi w:val="0"/>
        <w:spacing w:line="240" w:lineRule="auto"/>
        <w:ind w:leftChars="0"/>
        <w:rPr>
          <w:rFonts w:hint="default"/>
          <w:b/>
          <w:bCs w:val="0"/>
          <w:sz w:val="28"/>
          <w:szCs w:val="28"/>
          <w:lang w:val="en-US" w:eastAsia="zh-CN"/>
        </w:rPr>
      </w:pPr>
      <w:bookmarkStart w:id="17" w:name="_Toc13004"/>
      <w:r>
        <w:rPr>
          <w:rFonts w:hint="eastAsia"/>
          <w:b/>
          <w:bCs w:val="0"/>
          <w:sz w:val="28"/>
          <w:szCs w:val="28"/>
          <w:lang w:val="en-US" w:eastAsia="zh-CN"/>
        </w:rPr>
        <w:t>六、重大分歧意见处理经过和依据</w:t>
      </w:r>
      <w:bookmarkEnd w:id="17"/>
    </w:p>
    <w:p w14:paraId="1BABDA10">
      <w:pPr>
        <w:pStyle w:val="4"/>
        <w:rPr>
          <w:rFonts w:hint="default"/>
          <w:lang w:val="en-US" w:eastAsia="zh-CN"/>
        </w:rPr>
      </w:pPr>
      <w:r>
        <w:rPr>
          <w:rFonts w:hint="eastAsia"/>
          <w:lang w:val="en-US" w:eastAsia="zh-CN"/>
        </w:rPr>
        <w:t>由于针对本标准涉及相关领域的标准体系与规范的缺失，可供参考的数据与材料较少，对于标准中所涉及的参数数据、安全性能指标等参数指标的选取与规定出现分歧意见，经过多次会议研讨，并选取、结合相关行业的国家标准与标准研究技术文件，确定了现今标准的相关内容与要求规范。</w:t>
      </w:r>
    </w:p>
    <w:p w14:paraId="47CEBC8A">
      <w:pPr>
        <w:pStyle w:val="2"/>
        <w:numPr>
          <w:ilvl w:val="1"/>
          <w:numId w:val="0"/>
        </w:numPr>
        <w:bidi w:val="0"/>
        <w:spacing w:line="240" w:lineRule="auto"/>
        <w:ind w:leftChars="0"/>
        <w:rPr>
          <w:rFonts w:hint="eastAsia"/>
          <w:b/>
          <w:bCs w:val="0"/>
          <w:sz w:val="28"/>
          <w:szCs w:val="28"/>
          <w:lang w:val="en-US" w:eastAsia="zh-CN"/>
        </w:rPr>
      </w:pPr>
      <w:bookmarkStart w:id="18" w:name="_Toc32439"/>
      <w:r>
        <w:rPr>
          <w:rFonts w:hint="eastAsia"/>
          <w:b/>
          <w:bCs w:val="0"/>
          <w:sz w:val="28"/>
          <w:szCs w:val="28"/>
          <w:lang w:val="en-US" w:eastAsia="zh-CN"/>
        </w:rPr>
        <w:t>七、贯彻中国煤炭学会要求和措施建议</w:t>
      </w:r>
      <w:bookmarkEnd w:id="18"/>
    </w:p>
    <w:p w14:paraId="10E13389">
      <w:pPr>
        <w:pStyle w:val="4"/>
        <w:numPr>
          <w:ilvl w:val="0"/>
          <w:numId w:val="0"/>
        </w:numPr>
        <w:ind w:leftChars="0" w:firstLine="560" w:firstLineChars="200"/>
        <w:rPr>
          <w:rFonts w:hint="eastAsia" w:ascii="宋体" w:hAnsi="宋体" w:eastAsia="宋体" w:cs="宋体"/>
          <w:color w:val="000000" w:themeColor="text1"/>
          <w:sz w:val="28"/>
          <w:szCs w:val="28"/>
          <w:lang w:val="en-US" w:eastAsia="zh-CN"/>
          <w14:textFill>
            <w14:solidFill>
              <w14:schemeClr w14:val="tx1"/>
            </w14:solidFill>
          </w14:textFill>
        </w:rPr>
      </w:pPr>
      <w:r>
        <w:rPr>
          <w:rFonts w:hint="eastAsia" w:ascii="宋体" w:hAnsi="宋体" w:eastAsia="宋体" w:cs="宋体"/>
          <w:sz w:val="28"/>
          <w:szCs w:val="28"/>
          <w:lang w:val="en-US" w:eastAsia="zh-CN"/>
        </w:rPr>
        <w:t>为贯彻中国煤炭学会要求，建议标准发布后，相关单位适时发布贯彻标准的通知，并委托起草单位组织培训，切实推动</w:t>
      </w:r>
      <w:r>
        <w:rPr>
          <w:rFonts w:hint="eastAsia" w:cs="宋体"/>
          <w:sz w:val="28"/>
          <w:szCs w:val="28"/>
          <w:lang w:val="en-US" w:eastAsia="zh-CN"/>
        </w:rPr>
        <w:t>该</w:t>
      </w:r>
      <w:r>
        <w:rPr>
          <w:rFonts w:hint="eastAsia" w:ascii="宋体" w:hAnsi="宋体" w:eastAsia="宋体" w:cs="宋体"/>
          <w:sz w:val="28"/>
          <w:szCs w:val="28"/>
          <w:lang w:val="en-US" w:eastAsia="zh-CN"/>
        </w:rPr>
        <w:t>项团体标准的贯彻实施。</w:t>
      </w:r>
    </w:p>
    <w:p w14:paraId="3CD704C7">
      <w:pPr>
        <w:pStyle w:val="2"/>
        <w:numPr>
          <w:ilvl w:val="1"/>
          <w:numId w:val="0"/>
        </w:numPr>
        <w:bidi w:val="0"/>
        <w:spacing w:line="240" w:lineRule="auto"/>
        <w:ind w:leftChars="0"/>
        <w:rPr>
          <w:rFonts w:hint="default"/>
          <w:b/>
          <w:bCs w:val="0"/>
          <w:sz w:val="28"/>
          <w:szCs w:val="28"/>
          <w:lang w:val="en-US" w:eastAsia="zh-CN"/>
        </w:rPr>
      </w:pPr>
      <w:bookmarkStart w:id="19" w:name="_Toc5052"/>
      <w:r>
        <w:rPr>
          <w:rFonts w:hint="eastAsia"/>
          <w:b/>
          <w:bCs w:val="0"/>
          <w:sz w:val="28"/>
          <w:szCs w:val="28"/>
          <w:lang w:val="en-US" w:eastAsia="zh-CN"/>
        </w:rPr>
        <w:t>八、其他应予说明的事项</w:t>
      </w:r>
      <w:bookmarkEnd w:id="19"/>
    </w:p>
    <w:p w14:paraId="70C93622">
      <w:pPr>
        <w:pStyle w:val="4"/>
        <w:ind w:left="0" w:leftChars="0" w:firstLine="560" w:firstLineChars="200"/>
        <w:rPr>
          <w:rFonts w:hint="default" w:cs="宋体"/>
          <w:sz w:val="28"/>
          <w:szCs w:val="28"/>
          <w:lang w:val="en-US" w:eastAsia="zh-CN"/>
        </w:rPr>
      </w:pPr>
      <w:r>
        <w:rPr>
          <w:rFonts w:hint="eastAsia" w:cs="宋体"/>
          <w:sz w:val="28"/>
          <w:szCs w:val="28"/>
          <w:lang w:val="en-US" w:eastAsia="zh-CN"/>
        </w:rPr>
        <w:t>该标准需要得到</w:t>
      </w:r>
      <w:r>
        <w:rPr>
          <w:rFonts w:hint="eastAsia" w:ascii="宋体" w:hAnsi="宋体" w:eastAsia="宋体" w:cs="宋体"/>
          <w:sz w:val="28"/>
          <w:szCs w:val="28"/>
          <w:lang w:val="en-US" w:eastAsia="zh-CN"/>
        </w:rPr>
        <w:t>中国煤炭学会</w:t>
      </w:r>
      <w:r>
        <w:rPr>
          <w:rFonts w:hint="eastAsia" w:cs="宋体"/>
          <w:sz w:val="28"/>
          <w:szCs w:val="28"/>
          <w:lang w:val="en-US" w:eastAsia="zh-CN"/>
        </w:rPr>
        <w:t>组织车辆及电池研发制造生产企业、电池接口研发制造生产企业对电池及接口的具体性能参数指标和技术要求进行详细对接研讨，并在行业内进一步广泛征求意见，从而确保标准的可行性、合理性和先进性。</w:t>
      </w:r>
      <w:bookmarkStart w:id="20" w:name="_GoBack"/>
      <w:bookmarkEnd w:id="20"/>
    </w:p>
    <w:p w14:paraId="01B95AE3">
      <w:pPr>
        <w:pStyle w:val="4"/>
        <w:numPr>
          <w:ilvl w:val="0"/>
          <w:numId w:val="0"/>
        </w:numPr>
        <w:ind w:firstLine="560" w:firstLineChars="200"/>
        <w:rPr>
          <w:rFonts w:hint="eastAsia" w:ascii="宋体" w:hAnsi="宋体" w:eastAsia="宋体" w:cs="宋体"/>
          <w:sz w:val="28"/>
          <w:szCs w:val="28"/>
          <w:lang w:val="en-US" w:eastAsia="zh-CN"/>
        </w:rPr>
      </w:pPr>
    </w:p>
    <w:p w14:paraId="6D253F05">
      <w:pPr>
        <w:pStyle w:val="240"/>
        <w:rPr>
          <w:rFonts w:hint="default" w:ascii="宋体" w:hAnsi="宋体" w:eastAsia="宋体" w:cs="宋体"/>
          <w:sz w:val="28"/>
          <w:szCs w:val="28"/>
          <w:lang w:val="en-US" w:eastAsia="zh-CN"/>
        </w:rPr>
      </w:pPr>
    </w:p>
    <w:p w14:paraId="074912B5">
      <w:pPr>
        <w:pStyle w:val="4"/>
        <w:numPr>
          <w:ilvl w:val="0"/>
          <w:numId w:val="0"/>
        </w:numPr>
        <w:autoSpaceDE w:val="0"/>
        <w:autoSpaceDN w:val="0"/>
        <w:ind w:firstLine="560" w:firstLineChars="200"/>
        <w:jc w:val="both"/>
        <w:rPr>
          <w:rFonts w:hint="eastAsia" w:ascii="宋体" w:hAnsi="宋体" w:eastAsia="宋体" w:cs="宋体"/>
          <w:sz w:val="28"/>
          <w:szCs w:val="28"/>
          <w:lang w:val="en-US" w:eastAsia="zh-CN"/>
        </w:rPr>
      </w:pPr>
    </w:p>
    <w:p w14:paraId="75FE2AA5">
      <w:pPr>
        <w:pStyle w:val="4"/>
        <w:rPr>
          <w:rStyle w:val="33"/>
          <w:rFonts w:hint="eastAsia" w:ascii="宋体" w:hAnsi="宋体" w:eastAsia="宋体" w:cs="宋体"/>
          <w:b w:val="0"/>
          <w:bCs w:val="0"/>
          <w:i w:val="0"/>
          <w:iCs w:val="0"/>
          <w:caps w:val="0"/>
          <w:color w:val="1A2029"/>
          <w:spacing w:val="0"/>
          <w:sz w:val="28"/>
          <w:szCs w:val="28"/>
          <w:shd w:val="clear" w:color="auto" w:fill="auto"/>
          <w:vertAlign w:val="baseline"/>
          <w:lang w:val="en-US" w:eastAsia="zh-CN"/>
        </w:rPr>
      </w:pPr>
    </w:p>
    <w:p w14:paraId="74700350">
      <w:pPr>
        <w:pStyle w:val="4"/>
        <w:numPr>
          <w:ilvl w:val="0"/>
          <w:numId w:val="0"/>
        </w:numPr>
        <w:ind w:leftChars="0" w:firstLine="560" w:firstLineChars="200"/>
        <w:rPr>
          <w:rFonts w:hint="default" w:ascii="宋体" w:hAnsi="宋体" w:eastAsia="宋体" w:cs="宋体"/>
          <w:color w:val="000000" w:themeColor="text1"/>
          <w:sz w:val="28"/>
          <w:szCs w:val="28"/>
          <w:lang w:val="en-US" w:eastAsia="zh-CN"/>
          <w14:textFill>
            <w14:solidFill>
              <w14:schemeClr w14:val="tx1"/>
            </w14:solidFill>
          </w14:textFill>
        </w:rPr>
      </w:pPr>
    </w:p>
    <w:sectPr>
      <w:footerReference r:id="rId4" w:type="default"/>
      <w:pgSz w:w="11906" w:h="16838"/>
      <w:pgMar w:top="1440" w:right="1800" w:bottom="1440" w:left="1800" w:header="851" w:footer="992" w:gutter="0"/>
      <w:pgNumType w:fmt="decimal" w:start="1"/>
      <w:cols w:space="0" w:num="1"/>
      <w:rtlGutter w:val="0"/>
      <w:docGrid w:type="lines" w:linePitch="38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02"/>
    <w:family w:val="decorative"/>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67CFFC">
    <w:pPr>
      <w:pStyle w:val="56"/>
    </w:pPr>
  </w:p>
  <w:p w14:paraId="0338DF8F">
    <w:pPr>
      <w:pStyle w:val="56"/>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66D531">
    <w:pPr>
      <w:pStyle w:val="5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2E21255">
                          <w:pPr>
                            <w:pStyle w:val="2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42E21255">
                    <w:pPr>
                      <w:pStyle w:val="20"/>
                    </w:pPr>
                    <w:r>
                      <w:fldChar w:fldCharType="begin"/>
                    </w:r>
                    <w:r>
                      <w:instrText xml:space="preserve"> PAGE  \* MERGEFORMAT </w:instrText>
                    </w:r>
                    <w:r>
                      <w:fldChar w:fldCharType="separate"/>
                    </w:r>
                    <w:r>
                      <w:t>1</w:t>
                    </w:r>
                    <w:r>
                      <w:fldChar w:fldCharType="end"/>
                    </w:r>
                  </w:p>
                </w:txbxContent>
              </v:textbox>
            </v:shape>
          </w:pict>
        </mc:Fallback>
      </mc:AlternateContent>
    </w:r>
  </w:p>
  <w:p w14:paraId="66C34A92">
    <w:pPr>
      <w:pStyle w:val="56"/>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7"/>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2"/>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70"/>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8"/>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5"/>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4"/>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3D38D166"/>
    <w:multiLevelType w:val="singleLevel"/>
    <w:tmpl w:val="3D38D166"/>
    <w:lvl w:ilvl="0" w:tentative="0">
      <w:start w:val="1"/>
      <w:numFmt w:val="chineseCounting"/>
      <w:suff w:val="nothing"/>
      <w:lvlText w:val="%1、"/>
      <w:lvlJc w:val="left"/>
      <w:rPr>
        <w:rFonts w:hint="eastAsia"/>
      </w:rPr>
    </w:lvl>
  </w:abstractNum>
  <w:abstractNum w:abstractNumId="13">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4">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6"/>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5">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6">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7">
    <w:nsid w:val="54632751"/>
    <w:multiLevelType w:val="multilevel"/>
    <w:tmpl w:val="54632751"/>
    <w:lvl w:ilvl="0" w:tentative="0">
      <w:start w:val="1"/>
      <w:numFmt w:val="none"/>
      <w:pStyle w:val="96"/>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8">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80"/>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0">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1">
    <w:nsid w:val="63DEB555"/>
    <w:multiLevelType w:val="singleLevel"/>
    <w:tmpl w:val="63DEB555"/>
    <w:lvl w:ilvl="0" w:tentative="0">
      <w:start w:val="1"/>
      <w:numFmt w:val="chineseCounting"/>
      <w:suff w:val="nothing"/>
      <w:lvlText w:val="（%1）"/>
      <w:lvlJc w:val="left"/>
      <w:rPr>
        <w:rFonts w:hint="eastAsia"/>
      </w:rPr>
    </w:lvl>
  </w:abstractNum>
  <w:abstractNum w:abstractNumId="22">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3">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4">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5">
    <w:nsid w:val="657D3FBC"/>
    <w:multiLevelType w:val="multilevel"/>
    <w:tmpl w:val="657D3FBC"/>
    <w:lvl w:ilvl="0" w:tentative="0">
      <w:start w:val="1"/>
      <w:numFmt w:val="upperLetter"/>
      <w:pStyle w:val="79"/>
      <w:suff w:val="nothing"/>
      <w:lvlText w:val="附录%1"/>
      <w:lvlJc w:val="left"/>
      <w:pPr>
        <w:ind w:left="0" w:firstLine="0"/>
      </w:pPr>
      <w:rPr>
        <w:rFonts w:hint="eastAsia"/>
        <w:spacing w:val="100"/>
      </w:rPr>
    </w:lvl>
    <w:lvl w:ilvl="1" w:tentative="0">
      <w:start w:val="1"/>
      <w:numFmt w:val="decimal"/>
      <w:pStyle w:val="81"/>
      <w:suff w:val="nothing"/>
      <w:lvlText w:val="%1.%2　"/>
      <w:lvlJc w:val="left"/>
      <w:pPr>
        <w:ind w:left="0" w:firstLine="0"/>
      </w:pPr>
      <w:rPr>
        <w:rFonts w:hint="eastAsia" w:ascii="黑体" w:eastAsia="黑体"/>
        <w:b w:val="0"/>
        <w:i w:val="0"/>
        <w:sz w:val="21"/>
      </w:rPr>
    </w:lvl>
    <w:lvl w:ilvl="2" w:tentative="0">
      <w:start w:val="1"/>
      <w:numFmt w:val="decimal"/>
      <w:pStyle w:val="82"/>
      <w:suff w:val="nothing"/>
      <w:lvlText w:val="%1.%2.%3　"/>
      <w:lvlJc w:val="left"/>
      <w:pPr>
        <w:ind w:left="0" w:firstLine="0"/>
      </w:pPr>
      <w:rPr>
        <w:rFonts w:hint="eastAsia" w:ascii="黑体" w:eastAsia="黑体"/>
        <w:b w:val="0"/>
        <w:i w:val="0"/>
        <w:sz w:val="21"/>
      </w:rPr>
    </w:lvl>
    <w:lvl w:ilvl="3" w:tentative="0">
      <w:start w:val="1"/>
      <w:numFmt w:val="decimal"/>
      <w:pStyle w:val="84"/>
      <w:suff w:val="nothing"/>
      <w:lvlText w:val="%1.%2.%3.%4　"/>
      <w:lvlJc w:val="left"/>
      <w:pPr>
        <w:ind w:left="0" w:firstLine="0"/>
      </w:pPr>
      <w:rPr>
        <w:rFonts w:hint="eastAsia" w:ascii="黑体" w:eastAsia="黑体"/>
        <w:b w:val="0"/>
        <w:i w:val="0"/>
        <w:sz w:val="21"/>
      </w:rPr>
    </w:lvl>
    <w:lvl w:ilvl="4" w:tentative="0">
      <w:start w:val="1"/>
      <w:numFmt w:val="decimal"/>
      <w:pStyle w:val="85"/>
      <w:suff w:val="nothing"/>
      <w:lvlText w:val="%1.%2.%3.%4.%5　"/>
      <w:lvlJc w:val="left"/>
      <w:pPr>
        <w:ind w:left="0" w:firstLine="0"/>
      </w:pPr>
      <w:rPr>
        <w:rFonts w:hint="eastAsia" w:ascii="黑体" w:eastAsia="黑体"/>
        <w:b w:val="0"/>
        <w:i w:val="0"/>
        <w:sz w:val="21"/>
      </w:rPr>
    </w:lvl>
    <w:lvl w:ilvl="5" w:tentative="0">
      <w:start w:val="1"/>
      <w:numFmt w:val="decimal"/>
      <w:pStyle w:val="87"/>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6">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7">
    <w:nsid w:val="6CA41985"/>
    <w:multiLevelType w:val="multilevel"/>
    <w:tmpl w:val="6CA41985"/>
    <w:lvl w:ilvl="0" w:tentative="0">
      <w:start w:val="1"/>
      <w:numFmt w:val="decimal"/>
      <w:pStyle w:val="100"/>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8">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3"/>
      <w:suff w:val="nothing"/>
      <w:lvlText w:val="%1%2　"/>
      <w:lvlJc w:val="left"/>
      <w:pPr>
        <w:ind w:left="0" w:firstLine="0"/>
      </w:pPr>
      <w:rPr>
        <w:rFonts w:hint="eastAsia" w:ascii="黑体" w:eastAsia="黑体"/>
        <w:b w:val="0"/>
        <w:i w:val="0"/>
        <w:sz w:val="21"/>
      </w:rPr>
    </w:lvl>
    <w:lvl w:ilvl="2" w:tentative="0">
      <w:start w:val="1"/>
      <w:numFmt w:val="decimal"/>
      <w:pStyle w:val="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8"/>
      <w:suff w:val="nothing"/>
      <w:lvlText w:val="%1%2.%3.%4　"/>
      <w:lvlJc w:val="left"/>
      <w:pPr>
        <w:ind w:left="0" w:firstLine="0"/>
      </w:pPr>
      <w:rPr>
        <w:rFonts w:hint="eastAsia" w:ascii="黑体" w:eastAsia="黑体"/>
        <w:b w:val="0"/>
        <w:i w:val="0"/>
        <w:sz w:val="21"/>
      </w:rPr>
    </w:lvl>
    <w:lvl w:ilvl="4" w:tentative="0">
      <w:start w:val="1"/>
      <w:numFmt w:val="decimal"/>
      <w:pStyle w:val="97"/>
      <w:suff w:val="nothing"/>
      <w:lvlText w:val="%1%2.%3.%4.%5　"/>
      <w:lvlJc w:val="left"/>
      <w:pPr>
        <w:ind w:left="0" w:firstLine="0"/>
      </w:pPr>
      <w:rPr>
        <w:rFonts w:hint="eastAsia" w:ascii="黑体" w:eastAsia="黑体"/>
        <w:b w:val="0"/>
        <w:i w:val="0"/>
        <w:sz w:val="21"/>
      </w:rPr>
    </w:lvl>
    <w:lvl w:ilvl="5" w:tentative="0">
      <w:start w:val="1"/>
      <w:numFmt w:val="decimal"/>
      <w:pStyle w:val="101"/>
      <w:suff w:val="nothing"/>
      <w:lvlText w:val="%1%2.%3.%4.%5.%6　"/>
      <w:lvlJc w:val="left"/>
      <w:pPr>
        <w:ind w:left="0" w:firstLine="0"/>
      </w:pPr>
      <w:rPr>
        <w:rFonts w:hint="eastAsia" w:ascii="黑体" w:eastAsia="黑体"/>
        <w:b w:val="0"/>
        <w:i w:val="0"/>
        <w:sz w:val="21"/>
      </w:rPr>
    </w:lvl>
    <w:lvl w:ilvl="6" w:tentative="0">
      <w:start w:val="1"/>
      <w:numFmt w:val="decimal"/>
      <w:pStyle w:val="106"/>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0">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1">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2">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9"/>
  </w:num>
  <w:num w:numId="2">
    <w:abstractNumId w:val="0"/>
  </w:num>
  <w:num w:numId="3">
    <w:abstractNumId w:val="5"/>
  </w:num>
  <w:num w:numId="4">
    <w:abstractNumId w:val="25"/>
  </w:num>
  <w:num w:numId="5">
    <w:abstractNumId w:val="19"/>
  </w:num>
  <w:num w:numId="6">
    <w:abstractNumId w:val="14"/>
  </w:num>
  <w:num w:numId="7">
    <w:abstractNumId w:val="8"/>
  </w:num>
  <w:num w:numId="8">
    <w:abstractNumId w:val="3"/>
  </w:num>
  <w:num w:numId="9">
    <w:abstractNumId w:val="9"/>
  </w:num>
  <w:num w:numId="10">
    <w:abstractNumId w:val="17"/>
  </w:num>
  <w:num w:numId="11">
    <w:abstractNumId w:val="27"/>
  </w:num>
  <w:num w:numId="12">
    <w:abstractNumId w:val="11"/>
  </w:num>
  <w:num w:numId="13">
    <w:abstractNumId w:val="13"/>
  </w:num>
  <w:num w:numId="14">
    <w:abstractNumId w:val="7"/>
  </w:num>
  <w:num w:numId="15">
    <w:abstractNumId w:val="20"/>
  </w:num>
  <w:num w:numId="16">
    <w:abstractNumId w:val="23"/>
  </w:num>
  <w:num w:numId="17">
    <w:abstractNumId w:val="18"/>
  </w:num>
  <w:num w:numId="18">
    <w:abstractNumId w:val="31"/>
  </w:num>
  <w:num w:numId="19">
    <w:abstractNumId w:val="16"/>
  </w:num>
  <w:num w:numId="20">
    <w:abstractNumId w:val="1"/>
  </w:num>
  <w:num w:numId="21">
    <w:abstractNumId w:val="10"/>
  </w:num>
  <w:num w:numId="22">
    <w:abstractNumId w:val="32"/>
  </w:num>
  <w:num w:numId="23">
    <w:abstractNumId w:val="22"/>
  </w:num>
  <w:num w:numId="24">
    <w:abstractNumId w:val="6"/>
  </w:num>
  <w:num w:numId="25">
    <w:abstractNumId w:val="28"/>
  </w:num>
  <w:num w:numId="26">
    <w:abstractNumId w:val="30"/>
  </w:num>
  <w:num w:numId="27">
    <w:abstractNumId w:val="2"/>
  </w:num>
  <w:num w:numId="28">
    <w:abstractNumId w:val="4"/>
  </w:num>
  <w:num w:numId="29">
    <w:abstractNumId w:val="15"/>
  </w:num>
  <w:num w:numId="30">
    <w:abstractNumId w:val="26"/>
  </w:num>
  <w:num w:numId="31">
    <w:abstractNumId w:val="24"/>
  </w:num>
  <w:num w:numId="32">
    <w:abstractNumId w:val="12"/>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91"/>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kNTY0MDY5YmZkZmYzZjc2MjlkYzQyZjE1MzM0ODkifQ=="/>
  </w:docVars>
  <w:rsids>
    <w:rsidRoot w:val="26A70A0A"/>
    <w:rsid w:val="009C006D"/>
    <w:rsid w:val="027F3889"/>
    <w:rsid w:val="045C6D1A"/>
    <w:rsid w:val="046C3066"/>
    <w:rsid w:val="04A816E2"/>
    <w:rsid w:val="04CE4A8B"/>
    <w:rsid w:val="072D28F0"/>
    <w:rsid w:val="07802D82"/>
    <w:rsid w:val="085E53BC"/>
    <w:rsid w:val="0AB25BDC"/>
    <w:rsid w:val="0C572E75"/>
    <w:rsid w:val="0D062A3C"/>
    <w:rsid w:val="0D4234FE"/>
    <w:rsid w:val="0D86245E"/>
    <w:rsid w:val="0DC777E8"/>
    <w:rsid w:val="11496B5A"/>
    <w:rsid w:val="11F4739E"/>
    <w:rsid w:val="12F62DC0"/>
    <w:rsid w:val="150177FB"/>
    <w:rsid w:val="15127C5A"/>
    <w:rsid w:val="16340375"/>
    <w:rsid w:val="17AF353E"/>
    <w:rsid w:val="18F002B2"/>
    <w:rsid w:val="19ED4F15"/>
    <w:rsid w:val="1A55661F"/>
    <w:rsid w:val="1F884DA0"/>
    <w:rsid w:val="1FC76513"/>
    <w:rsid w:val="20FC3C98"/>
    <w:rsid w:val="23726318"/>
    <w:rsid w:val="25706A02"/>
    <w:rsid w:val="26A70A0A"/>
    <w:rsid w:val="271E423C"/>
    <w:rsid w:val="2A461AE0"/>
    <w:rsid w:val="2A6D3510"/>
    <w:rsid w:val="2AAC7A9B"/>
    <w:rsid w:val="2B8068BC"/>
    <w:rsid w:val="2C2B4E88"/>
    <w:rsid w:val="2E7C6827"/>
    <w:rsid w:val="2F0324FC"/>
    <w:rsid w:val="2F4D3910"/>
    <w:rsid w:val="30E3277E"/>
    <w:rsid w:val="33137AD9"/>
    <w:rsid w:val="3538471B"/>
    <w:rsid w:val="37950643"/>
    <w:rsid w:val="399A14F2"/>
    <w:rsid w:val="39F74BA5"/>
    <w:rsid w:val="3B356074"/>
    <w:rsid w:val="3BD17677"/>
    <w:rsid w:val="3CDE204C"/>
    <w:rsid w:val="3DA37948"/>
    <w:rsid w:val="3DF61D41"/>
    <w:rsid w:val="3E57441B"/>
    <w:rsid w:val="3ECF60F0"/>
    <w:rsid w:val="3EDA6862"/>
    <w:rsid w:val="406448DA"/>
    <w:rsid w:val="40A02F12"/>
    <w:rsid w:val="40E01908"/>
    <w:rsid w:val="430661E6"/>
    <w:rsid w:val="455E01CE"/>
    <w:rsid w:val="465F5FAB"/>
    <w:rsid w:val="46F32B98"/>
    <w:rsid w:val="46FC37FA"/>
    <w:rsid w:val="470D1EAB"/>
    <w:rsid w:val="480C2163"/>
    <w:rsid w:val="49496A9F"/>
    <w:rsid w:val="4BB76BEE"/>
    <w:rsid w:val="4C714C8A"/>
    <w:rsid w:val="4CA566E2"/>
    <w:rsid w:val="4D860874"/>
    <w:rsid w:val="4F94164E"/>
    <w:rsid w:val="4FAD7F37"/>
    <w:rsid w:val="51F37EF0"/>
    <w:rsid w:val="528A2602"/>
    <w:rsid w:val="546B4618"/>
    <w:rsid w:val="55A6539B"/>
    <w:rsid w:val="55EC7130"/>
    <w:rsid w:val="560B5B2E"/>
    <w:rsid w:val="56B714EC"/>
    <w:rsid w:val="5CD050B5"/>
    <w:rsid w:val="5D7A358E"/>
    <w:rsid w:val="5E6544E7"/>
    <w:rsid w:val="5F015CCB"/>
    <w:rsid w:val="5FDA449D"/>
    <w:rsid w:val="5FF6025B"/>
    <w:rsid w:val="63273E9D"/>
    <w:rsid w:val="632A3916"/>
    <w:rsid w:val="65FF4C5D"/>
    <w:rsid w:val="66911096"/>
    <w:rsid w:val="66FB5425"/>
    <w:rsid w:val="676C2572"/>
    <w:rsid w:val="67D0065F"/>
    <w:rsid w:val="6856186B"/>
    <w:rsid w:val="68C006D4"/>
    <w:rsid w:val="6A253607"/>
    <w:rsid w:val="6A883473"/>
    <w:rsid w:val="6A90057A"/>
    <w:rsid w:val="6B6A2B79"/>
    <w:rsid w:val="6C276051"/>
    <w:rsid w:val="6C6D0B73"/>
    <w:rsid w:val="6CDF1345"/>
    <w:rsid w:val="6DEF3809"/>
    <w:rsid w:val="6DF66C04"/>
    <w:rsid w:val="6EBF7FF4"/>
    <w:rsid w:val="6ED52EC1"/>
    <w:rsid w:val="707E5A86"/>
    <w:rsid w:val="70E560D1"/>
    <w:rsid w:val="724C0875"/>
    <w:rsid w:val="752E10BB"/>
    <w:rsid w:val="764346F2"/>
    <w:rsid w:val="77224F4B"/>
    <w:rsid w:val="77860D3A"/>
    <w:rsid w:val="79A436FA"/>
    <w:rsid w:val="7B40135C"/>
    <w:rsid w:val="7C676189"/>
    <w:rsid w:val="7C9F1AEB"/>
    <w:rsid w:val="7DE60785"/>
    <w:rsid w:val="7E6D05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99" w:name="Balloon Text"/>
    <w:lsdException w:qFormat="1" w:unhideWhenUsed="0" w:uiPriority="39" w:semiHidden="0" w:name="Table Grid"/>
    <w:lsdException w:unhideWhenUsed="0" w:uiPriority="0" w:semiHidden="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宋体" w:asciiTheme="minorAscii" w:hAnsiTheme="minorAscii" w:cstheme="minorBidi"/>
      <w:kern w:val="2"/>
      <w:sz w:val="28"/>
      <w:szCs w:val="24"/>
      <w:lang w:val="en-US" w:eastAsia="zh-CN" w:bidi="ar-SA"/>
    </w:rPr>
  </w:style>
  <w:style w:type="paragraph" w:styleId="2">
    <w:name w:val="heading 1"/>
    <w:basedOn w:val="3"/>
    <w:next w:val="1"/>
    <w:link w:val="38"/>
    <w:qFormat/>
    <w:uiPriority w:val="0"/>
    <w:pPr>
      <w:keepNext/>
      <w:keepLines/>
      <w:adjustRightInd w:val="0"/>
      <w:spacing w:before="100" w:after="100" w:line="578" w:lineRule="auto"/>
      <w:outlineLvl w:val="0"/>
    </w:pPr>
    <w:rPr>
      <w:rFonts w:ascii="Calibri" w:hAnsi="Calibri" w:eastAsia="宋体"/>
      <w:bCs/>
      <w:kern w:val="44"/>
      <w:szCs w:val="44"/>
    </w:rPr>
  </w:style>
  <w:style w:type="paragraph" w:styleId="5">
    <w:name w:val="heading 2"/>
    <w:basedOn w:val="6"/>
    <w:next w:val="1"/>
    <w:link w:val="39"/>
    <w:qFormat/>
    <w:uiPriority w:val="0"/>
    <w:pPr>
      <w:keepNext/>
      <w:keepLines/>
      <w:adjustRightInd w:val="0"/>
      <w:spacing w:before="50" w:after="50" w:line="416" w:lineRule="auto"/>
      <w:outlineLvl w:val="1"/>
    </w:pPr>
    <w:rPr>
      <w:rFonts w:ascii="Arial" w:hAnsi="Arial" w:eastAsia="宋体"/>
      <w:bCs/>
      <w:szCs w:val="32"/>
    </w:rPr>
  </w:style>
  <w:style w:type="paragraph" w:styleId="7">
    <w:name w:val="heading 3"/>
    <w:basedOn w:val="1"/>
    <w:next w:val="1"/>
    <w:link w:val="40"/>
    <w:qFormat/>
    <w:uiPriority w:val="0"/>
    <w:pPr>
      <w:keepNext/>
      <w:keepLines/>
      <w:adjustRightInd w:val="0"/>
      <w:spacing w:before="260" w:after="260" w:line="416" w:lineRule="auto"/>
      <w:outlineLvl w:val="2"/>
    </w:pPr>
    <w:rPr>
      <w:rFonts w:ascii="Calibri" w:hAnsi="Calibri" w:eastAsia="宋体" w:cs="Times New Roman"/>
      <w:b/>
      <w:bCs/>
      <w:sz w:val="32"/>
      <w:szCs w:val="32"/>
    </w:rPr>
  </w:style>
  <w:style w:type="paragraph" w:styleId="8">
    <w:name w:val="heading 4"/>
    <w:basedOn w:val="1"/>
    <w:next w:val="1"/>
    <w:link w:val="41"/>
    <w:qFormat/>
    <w:uiPriority w:val="0"/>
    <w:pPr>
      <w:keepNext/>
      <w:keepLines/>
      <w:adjustRightInd w:val="0"/>
      <w:spacing w:before="280" w:after="290" w:line="376" w:lineRule="auto"/>
      <w:outlineLvl w:val="3"/>
    </w:pPr>
    <w:rPr>
      <w:rFonts w:ascii="Arial" w:hAnsi="Arial" w:eastAsia="黑体" w:cs="Times New Roman"/>
      <w:b/>
      <w:bCs/>
      <w:sz w:val="28"/>
      <w:szCs w:val="28"/>
    </w:rPr>
  </w:style>
  <w:style w:type="paragraph" w:styleId="9">
    <w:name w:val="heading 5"/>
    <w:basedOn w:val="1"/>
    <w:next w:val="1"/>
    <w:link w:val="42"/>
    <w:qFormat/>
    <w:uiPriority w:val="0"/>
    <w:pPr>
      <w:keepNext/>
      <w:keepLines/>
      <w:adjustRightInd/>
      <w:spacing w:before="280" w:after="290" w:line="376" w:lineRule="auto"/>
      <w:outlineLvl w:val="4"/>
    </w:pPr>
    <w:rPr>
      <w:rFonts w:ascii="Calibri" w:hAnsi="Calibri" w:eastAsia="宋体" w:cs="Times New Roman"/>
      <w:b/>
      <w:bCs/>
      <w:sz w:val="28"/>
      <w:szCs w:val="28"/>
    </w:rPr>
  </w:style>
  <w:style w:type="paragraph" w:styleId="10">
    <w:name w:val="heading 6"/>
    <w:basedOn w:val="1"/>
    <w:next w:val="1"/>
    <w:link w:val="43"/>
    <w:qFormat/>
    <w:uiPriority w:val="0"/>
    <w:pPr>
      <w:keepNext/>
      <w:keepLines/>
      <w:adjustRightInd/>
      <w:spacing w:before="240" w:after="64" w:line="320" w:lineRule="auto"/>
      <w:outlineLvl w:val="5"/>
    </w:pPr>
    <w:rPr>
      <w:rFonts w:ascii="Arial" w:hAnsi="Arial" w:eastAsia="黑体" w:cs="Times New Roman"/>
      <w:b/>
      <w:bCs/>
      <w:sz w:val="24"/>
      <w:szCs w:val="24"/>
    </w:rPr>
  </w:style>
  <w:style w:type="paragraph" w:styleId="11">
    <w:name w:val="heading 7"/>
    <w:basedOn w:val="1"/>
    <w:next w:val="1"/>
    <w:link w:val="44"/>
    <w:qFormat/>
    <w:uiPriority w:val="0"/>
    <w:pPr>
      <w:keepNext/>
      <w:keepLines/>
      <w:adjustRightInd/>
      <w:spacing w:before="240" w:after="64" w:line="320" w:lineRule="auto"/>
      <w:outlineLvl w:val="6"/>
    </w:pPr>
    <w:rPr>
      <w:rFonts w:ascii="Calibri" w:hAnsi="Calibri" w:eastAsia="宋体" w:cs="Times New Roman"/>
      <w:b/>
      <w:bCs/>
      <w:sz w:val="24"/>
      <w:szCs w:val="24"/>
    </w:rPr>
  </w:style>
  <w:style w:type="paragraph" w:styleId="12">
    <w:name w:val="heading 8"/>
    <w:basedOn w:val="1"/>
    <w:next w:val="1"/>
    <w:link w:val="45"/>
    <w:qFormat/>
    <w:uiPriority w:val="0"/>
    <w:pPr>
      <w:keepNext/>
      <w:keepLines/>
      <w:adjustRightInd/>
      <w:spacing w:before="240" w:after="64" w:line="320" w:lineRule="auto"/>
      <w:outlineLvl w:val="7"/>
    </w:pPr>
    <w:rPr>
      <w:rFonts w:ascii="Arial" w:hAnsi="Arial" w:eastAsia="黑体" w:cs="Times New Roman"/>
      <w:sz w:val="24"/>
      <w:szCs w:val="24"/>
    </w:rPr>
  </w:style>
  <w:style w:type="paragraph" w:styleId="13">
    <w:name w:val="heading 9"/>
    <w:basedOn w:val="1"/>
    <w:next w:val="1"/>
    <w:link w:val="46"/>
    <w:qFormat/>
    <w:uiPriority w:val="0"/>
    <w:pPr>
      <w:keepNext/>
      <w:keepLines/>
      <w:adjustRightInd/>
      <w:spacing w:before="240" w:after="64" w:line="320" w:lineRule="auto"/>
      <w:outlineLvl w:val="8"/>
    </w:pPr>
    <w:rPr>
      <w:rFonts w:ascii="Arial" w:hAnsi="Arial" w:eastAsia="黑体" w:cs="Times New Roman"/>
      <w:szCs w:val="21"/>
    </w:rPr>
  </w:style>
  <w:style w:type="character" w:default="1" w:styleId="32">
    <w:name w:val="Default Paragraph Font"/>
    <w:semiHidden/>
    <w:unhideWhenUsed/>
    <w:qFormat/>
    <w:uiPriority w:val="1"/>
  </w:style>
  <w:style w:type="table" w:default="1" w:styleId="30">
    <w:name w:val="Normal Table"/>
    <w:semiHidden/>
    <w:qFormat/>
    <w:uiPriority w:val="0"/>
    <w:tblPr>
      <w:tblCellMar>
        <w:top w:w="0" w:type="dxa"/>
        <w:left w:w="108" w:type="dxa"/>
        <w:bottom w:w="0" w:type="dxa"/>
        <w:right w:w="108" w:type="dxa"/>
      </w:tblCellMar>
    </w:tblPr>
  </w:style>
  <w:style w:type="paragraph" w:customStyle="1" w:styleId="3">
    <w:name w:val="标准文件_章标题"/>
    <w:next w:val="4"/>
    <w:autoRedefine/>
    <w:qFormat/>
    <w:uiPriority w:val="0"/>
    <w:pPr>
      <w:numPr>
        <w:ilvl w:val="1"/>
        <w:numId w:val="1"/>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4">
    <w:name w:val="标准文件_段"/>
    <w:link w:val="185"/>
    <w:autoRedefine/>
    <w:qFormat/>
    <w:uiPriority w:val="0"/>
    <w:pPr>
      <w:autoSpaceDE w:val="0"/>
      <w:autoSpaceDN w:val="0"/>
      <w:ind w:firstLine="200" w:firstLineChars="200"/>
      <w:jc w:val="both"/>
    </w:pPr>
    <w:rPr>
      <w:rFonts w:ascii="宋体" w:hAnsi="宋体" w:eastAsia="宋体" w:cs="Times New Roman"/>
      <w:sz w:val="28"/>
      <w:lang w:val="en-US" w:eastAsia="zh-CN" w:bidi="ar-SA"/>
    </w:rPr>
  </w:style>
  <w:style w:type="paragraph" w:customStyle="1" w:styleId="6">
    <w:name w:val="标准文件_一级条标题"/>
    <w:basedOn w:val="3"/>
    <w:next w:val="4"/>
    <w:autoRedefine/>
    <w:qFormat/>
    <w:uiPriority w:val="0"/>
    <w:pPr>
      <w:numPr>
        <w:ilvl w:val="2"/>
      </w:numPr>
      <w:spacing w:before="50" w:beforeLines="50" w:after="50" w:afterLines="50"/>
      <w:outlineLvl w:val="1"/>
    </w:pPr>
  </w:style>
  <w:style w:type="paragraph" w:styleId="14">
    <w:name w:val="toc 7"/>
    <w:basedOn w:val="1"/>
    <w:next w:val="1"/>
    <w:unhideWhenUsed/>
    <w:qFormat/>
    <w:uiPriority w:val="39"/>
    <w:pPr>
      <w:tabs>
        <w:tab w:val="right" w:leader="dot" w:pos="9344"/>
      </w:tabs>
      <w:adjustRightInd w:val="0"/>
      <w:spacing w:line="300" w:lineRule="exact"/>
      <w:ind w:left="1259"/>
    </w:pPr>
    <w:rPr>
      <w:rFonts w:ascii="宋体" w:hAnsi="Calibri" w:eastAsia="宋体" w:cs="Times New Roman"/>
      <w:szCs w:val="21"/>
    </w:rPr>
  </w:style>
  <w:style w:type="paragraph" w:styleId="15">
    <w:name w:val="Normal Indent"/>
    <w:basedOn w:val="1"/>
    <w:qFormat/>
    <w:uiPriority w:val="0"/>
    <w:pPr>
      <w:adjustRightInd w:val="0"/>
      <w:spacing w:line="400" w:lineRule="exact"/>
      <w:ind w:firstLine="420"/>
    </w:pPr>
    <w:rPr>
      <w:rFonts w:ascii="Calibri" w:hAnsi="Calibri" w:eastAsia="宋体" w:cs="Times New Roman"/>
      <w:szCs w:val="21"/>
    </w:rPr>
  </w:style>
  <w:style w:type="paragraph" w:styleId="16">
    <w:name w:val="Body Text"/>
    <w:basedOn w:val="1"/>
    <w:link w:val="89"/>
    <w:qFormat/>
    <w:uiPriority w:val="0"/>
    <w:pPr>
      <w:adjustRightInd w:val="0"/>
      <w:spacing w:after="120" w:line="400" w:lineRule="exact"/>
    </w:pPr>
    <w:rPr>
      <w:rFonts w:ascii="Calibri" w:hAnsi="Calibri" w:eastAsia="宋体" w:cs="Times New Roman"/>
      <w:szCs w:val="21"/>
    </w:rPr>
  </w:style>
  <w:style w:type="paragraph" w:styleId="17">
    <w:name w:val="toc 5"/>
    <w:basedOn w:val="1"/>
    <w:next w:val="1"/>
    <w:unhideWhenUsed/>
    <w:qFormat/>
    <w:uiPriority w:val="39"/>
    <w:pPr>
      <w:adjustRightInd w:val="0"/>
      <w:spacing w:line="400" w:lineRule="exact"/>
      <w:ind w:left="839"/>
    </w:pPr>
    <w:rPr>
      <w:rFonts w:ascii="宋体" w:hAnsi="Calibri" w:eastAsia="宋体" w:cs="Times New Roman"/>
      <w:szCs w:val="21"/>
    </w:rPr>
  </w:style>
  <w:style w:type="paragraph" w:styleId="18">
    <w:name w:val="toc 3"/>
    <w:basedOn w:val="1"/>
    <w:next w:val="1"/>
    <w:unhideWhenUsed/>
    <w:qFormat/>
    <w:uiPriority w:val="39"/>
    <w:pPr>
      <w:adjustRightInd w:val="0"/>
      <w:spacing w:line="300" w:lineRule="exact"/>
      <w:ind w:left="420"/>
    </w:pPr>
    <w:rPr>
      <w:rFonts w:ascii="宋体" w:hAnsi="Calibri" w:eastAsia="宋体" w:cs="Times New Roman"/>
      <w:szCs w:val="21"/>
    </w:rPr>
  </w:style>
  <w:style w:type="paragraph" w:styleId="19">
    <w:name w:val="Balloon Text"/>
    <w:basedOn w:val="1"/>
    <w:link w:val="49"/>
    <w:semiHidden/>
    <w:unhideWhenUsed/>
    <w:qFormat/>
    <w:uiPriority w:val="99"/>
    <w:pPr>
      <w:adjustRightInd w:val="0"/>
      <w:spacing w:line="400" w:lineRule="exact"/>
    </w:pPr>
    <w:rPr>
      <w:rFonts w:ascii="Calibri" w:hAnsi="Calibri" w:eastAsia="宋体" w:cs="Times New Roman"/>
      <w:sz w:val="18"/>
      <w:szCs w:val="18"/>
    </w:rPr>
  </w:style>
  <w:style w:type="paragraph" w:styleId="20">
    <w:name w:val="footer"/>
    <w:basedOn w:val="1"/>
    <w:link w:val="48"/>
    <w:qFormat/>
    <w:uiPriority w:val="99"/>
    <w:pPr>
      <w:tabs>
        <w:tab w:val="center" w:pos="4153"/>
        <w:tab w:val="right" w:pos="8306"/>
      </w:tabs>
      <w:adjustRightInd/>
      <w:snapToGrid w:val="0"/>
      <w:spacing w:line="240" w:lineRule="auto"/>
      <w:jc w:val="right"/>
    </w:pPr>
    <w:rPr>
      <w:rFonts w:ascii="宋体" w:hAnsi="Calibri" w:eastAsia="宋体" w:cs="Times New Roman"/>
      <w:sz w:val="18"/>
      <w:szCs w:val="18"/>
    </w:rPr>
  </w:style>
  <w:style w:type="paragraph" w:styleId="21">
    <w:name w:val="header"/>
    <w:basedOn w:val="1"/>
    <w:link w:val="47"/>
    <w:qFormat/>
    <w:uiPriority w:val="99"/>
    <w:pPr>
      <w:tabs>
        <w:tab w:val="center" w:pos="4153"/>
        <w:tab w:val="right" w:pos="8306"/>
      </w:tabs>
      <w:adjustRightInd/>
      <w:snapToGrid w:val="0"/>
      <w:spacing w:line="400" w:lineRule="exact"/>
      <w:jc w:val="center"/>
    </w:pPr>
    <w:rPr>
      <w:rFonts w:ascii="Calibri" w:hAnsi="Calibri" w:eastAsia="宋体" w:cs="Times New Roman"/>
      <w:sz w:val="18"/>
      <w:szCs w:val="18"/>
    </w:rPr>
  </w:style>
  <w:style w:type="paragraph" w:styleId="22">
    <w:name w:val="toc 1"/>
    <w:basedOn w:val="1"/>
    <w:next w:val="1"/>
    <w:link w:val="238"/>
    <w:unhideWhenUsed/>
    <w:qFormat/>
    <w:uiPriority w:val="39"/>
    <w:pPr>
      <w:adjustRightInd w:val="0"/>
      <w:spacing w:line="400" w:lineRule="exact"/>
    </w:pPr>
    <w:rPr>
      <w:rFonts w:ascii="宋体" w:hAnsi="Calibri" w:eastAsia="宋体" w:cs="Times New Roman"/>
      <w:szCs w:val="21"/>
    </w:rPr>
  </w:style>
  <w:style w:type="paragraph" w:styleId="23">
    <w:name w:val="toc 4"/>
    <w:basedOn w:val="1"/>
    <w:next w:val="1"/>
    <w:unhideWhenUsed/>
    <w:qFormat/>
    <w:uiPriority w:val="39"/>
    <w:pPr>
      <w:tabs>
        <w:tab w:val="right" w:leader="dot" w:pos="9344"/>
      </w:tabs>
      <w:adjustRightInd w:val="0"/>
      <w:spacing w:line="300" w:lineRule="exact"/>
      <w:ind w:left="629"/>
    </w:pPr>
    <w:rPr>
      <w:rFonts w:ascii="宋体" w:hAnsi="Calibri" w:eastAsia="宋体" w:cs="Times New Roman"/>
      <w:szCs w:val="21"/>
    </w:rPr>
  </w:style>
  <w:style w:type="paragraph" w:styleId="24">
    <w:name w:val="footnote text"/>
    <w:basedOn w:val="1"/>
    <w:next w:val="1"/>
    <w:link w:val="102"/>
    <w:semiHidden/>
    <w:qFormat/>
    <w:uiPriority w:val="0"/>
    <w:pPr>
      <w:adjustRightInd/>
      <w:snapToGrid w:val="0"/>
      <w:spacing w:line="300" w:lineRule="exact"/>
      <w:ind w:left="400" w:leftChars="200" w:hanging="200" w:hangingChars="200"/>
      <w:jc w:val="left"/>
    </w:pPr>
    <w:rPr>
      <w:rFonts w:ascii="宋体" w:hAnsi="Calibri" w:eastAsia="宋体" w:cs="Times New Roman"/>
      <w:sz w:val="18"/>
      <w:szCs w:val="18"/>
    </w:rPr>
  </w:style>
  <w:style w:type="paragraph" w:styleId="25">
    <w:name w:val="toc 6"/>
    <w:basedOn w:val="1"/>
    <w:next w:val="1"/>
    <w:unhideWhenUsed/>
    <w:qFormat/>
    <w:uiPriority w:val="39"/>
    <w:pPr>
      <w:adjustRightInd w:val="0"/>
      <w:spacing w:line="300" w:lineRule="exact"/>
      <w:ind w:left="1049"/>
    </w:pPr>
    <w:rPr>
      <w:rFonts w:ascii="宋体" w:hAnsi="Calibri" w:eastAsia="宋体" w:cs="Times New Roman"/>
      <w:szCs w:val="21"/>
    </w:rPr>
  </w:style>
  <w:style w:type="paragraph" w:styleId="26">
    <w:name w:val="table of figures"/>
    <w:basedOn w:val="1"/>
    <w:next w:val="1"/>
    <w:semiHidden/>
    <w:qFormat/>
    <w:uiPriority w:val="0"/>
    <w:pPr>
      <w:adjustRightInd/>
      <w:spacing w:line="240" w:lineRule="auto"/>
      <w:jc w:val="left"/>
    </w:pPr>
    <w:rPr>
      <w:rFonts w:ascii="Calibri" w:hAnsi="Calibri" w:eastAsia="宋体" w:cs="Times New Roman"/>
      <w:szCs w:val="24"/>
    </w:rPr>
  </w:style>
  <w:style w:type="paragraph" w:styleId="27">
    <w:name w:val="toc 2"/>
    <w:basedOn w:val="1"/>
    <w:next w:val="1"/>
    <w:link w:val="233"/>
    <w:unhideWhenUsed/>
    <w:qFormat/>
    <w:uiPriority w:val="39"/>
    <w:pPr>
      <w:tabs>
        <w:tab w:val="right" w:leader="dot" w:pos="9344"/>
      </w:tabs>
      <w:adjustRightInd w:val="0"/>
      <w:spacing w:line="300" w:lineRule="exact"/>
      <w:ind w:left="210"/>
    </w:pPr>
    <w:rPr>
      <w:rFonts w:ascii="宋体" w:hAnsi="Calibri" w:eastAsia="宋体" w:cs="Times New Roman"/>
      <w:szCs w:val="21"/>
    </w:rPr>
  </w:style>
  <w:style w:type="paragraph" w:styleId="28">
    <w:name w:val="Normal (Web)"/>
    <w:basedOn w:val="1"/>
    <w:semiHidden/>
    <w:unhideWhenUsed/>
    <w:qFormat/>
    <w:uiPriority w:val="99"/>
    <w:pPr>
      <w:adjustRightInd w:val="0"/>
      <w:spacing w:before="0" w:beforeAutospacing="1" w:after="0" w:afterAutospacing="1" w:line="400" w:lineRule="exact"/>
      <w:ind w:left="0" w:right="0"/>
      <w:jc w:val="left"/>
    </w:pPr>
    <w:rPr>
      <w:rFonts w:ascii="Calibri" w:hAnsi="Calibri" w:eastAsia="宋体" w:cs="Times New Roman"/>
      <w:kern w:val="0"/>
      <w:sz w:val="24"/>
      <w:szCs w:val="21"/>
      <w:lang w:val="en-US" w:eastAsia="zh-CN" w:bidi="ar"/>
    </w:rPr>
  </w:style>
  <w:style w:type="paragraph" w:styleId="29">
    <w:name w:val="Title"/>
    <w:basedOn w:val="1"/>
    <w:link w:val="52"/>
    <w:qFormat/>
    <w:uiPriority w:val="0"/>
    <w:pPr>
      <w:adjustRightInd w:val="0"/>
      <w:spacing w:before="240" w:after="60" w:line="400" w:lineRule="exact"/>
      <w:jc w:val="center"/>
      <w:outlineLvl w:val="0"/>
    </w:pPr>
    <w:rPr>
      <w:rFonts w:ascii="Arial" w:hAnsi="Arial" w:eastAsia="宋体" w:cs="Arial"/>
      <w:b/>
      <w:bCs/>
      <w:sz w:val="32"/>
      <w:szCs w:val="32"/>
    </w:rPr>
  </w:style>
  <w:style w:type="table" w:styleId="31">
    <w:name w:val="Table Grid"/>
    <w:basedOn w:val="30"/>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3">
    <w:name w:val="Strong"/>
    <w:qFormat/>
    <w:uiPriority w:val="22"/>
    <w:rPr>
      <w:rFonts w:ascii="Times New Roman" w:hAnsi="Times New Roman" w:eastAsia="宋体" w:cs="Times New Roman"/>
      <w:b/>
      <w:bCs/>
    </w:rPr>
  </w:style>
  <w:style w:type="character" w:styleId="34">
    <w:name w:val="page number"/>
    <w:qFormat/>
    <w:uiPriority w:val="0"/>
    <w:rPr>
      <w:rFonts w:ascii="宋体" w:hAnsi="Times New Roman" w:eastAsia="宋体" w:cs="Times New Roman"/>
      <w:sz w:val="18"/>
    </w:rPr>
  </w:style>
  <w:style w:type="character" w:styleId="35">
    <w:name w:val="Emphasis"/>
    <w:qFormat/>
    <w:uiPriority w:val="20"/>
    <w:rPr>
      <w:rFonts w:ascii="Times New Roman" w:hAnsi="Times New Roman" w:eastAsia="宋体" w:cs="Times New Roman"/>
      <w:i/>
      <w:iCs/>
    </w:rPr>
  </w:style>
  <w:style w:type="character" w:styleId="36">
    <w:name w:val="Hyperlink"/>
    <w:qFormat/>
    <w:uiPriority w:val="99"/>
    <w:rPr>
      <w:rFonts w:ascii="宋体" w:hAnsi="Times New Roman" w:eastAsia="宋体" w:cs="Times New Roman"/>
      <w:color w:val="auto"/>
      <w:spacing w:val="0"/>
      <w:w w:val="100"/>
      <w:position w:val="0"/>
      <w:sz w:val="21"/>
      <w:u w:val="none"/>
      <w:vertAlign w:val="baseline"/>
    </w:rPr>
  </w:style>
  <w:style w:type="character" w:styleId="37">
    <w:name w:val="footnote reference"/>
    <w:semiHidden/>
    <w:qFormat/>
    <w:uiPriority w:val="0"/>
    <w:rPr>
      <w:rFonts w:ascii="宋体" w:hAnsi="宋体" w:eastAsia="宋体" w:cs="Times New Roman"/>
      <w:spacing w:val="0"/>
      <w:sz w:val="18"/>
      <w:vertAlign w:val="superscript"/>
    </w:rPr>
  </w:style>
  <w:style w:type="character" w:customStyle="1" w:styleId="38">
    <w:name w:val="标题 1 字符"/>
    <w:link w:val="2"/>
    <w:autoRedefine/>
    <w:qFormat/>
    <w:uiPriority w:val="0"/>
    <w:rPr>
      <w:rFonts w:ascii="Calibri" w:hAnsi="Calibri" w:eastAsia="宋体" w:cs="Times New Roman"/>
      <w:bCs/>
      <w:kern w:val="44"/>
      <w:sz w:val="28"/>
      <w:szCs w:val="44"/>
    </w:rPr>
  </w:style>
  <w:style w:type="character" w:customStyle="1" w:styleId="39">
    <w:name w:val="标题 2 字符"/>
    <w:link w:val="5"/>
    <w:autoRedefine/>
    <w:qFormat/>
    <w:uiPriority w:val="0"/>
    <w:rPr>
      <w:rFonts w:ascii="Arial" w:hAnsi="Arial" w:eastAsia="宋体" w:cs="Times New Roman"/>
      <w:bCs/>
      <w:sz w:val="28"/>
      <w:szCs w:val="32"/>
    </w:rPr>
  </w:style>
  <w:style w:type="character" w:customStyle="1" w:styleId="40">
    <w:name w:val="标题 3 字符"/>
    <w:link w:val="7"/>
    <w:autoRedefine/>
    <w:qFormat/>
    <w:uiPriority w:val="0"/>
    <w:rPr>
      <w:rFonts w:ascii="Calibri" w:hAnsi="Calibri" w:eastAsia="宋体" w:cs="Times New Roman"/>
      <w:b/>
      <w:bCs/>
      <w:sz w:val="32"/>
      <w:szCs w:val="32"/>
    </w:rPr>
  </w:style>
  <w:style w:type="character" w:customStyle="1" w:styleId="41">
    <w:name w:val="标题 4 字符"/>
    <w:link w:val="8"/>
    <w:autoRedefine/>
    <w:qFormat/>
    <w:uiPriority w:val="0"/>
    <w:rPr>
      <w:rFonts w:ascii="Arial" w:hAnsi="Arial" w:eastAsia="黑体" w:cs="Times New Roman"/>
      <w:b/>
      <w:bCs/>
      <w:sz w:val="28"/>
      <w:szCs w:val="28"/>
    </w:rPr>
  </w:style>
  <w:style w:type="character" w:customStyle="1" w:styleId="42">
    <w:name w:val="标题 5 字符"/>
    <w:link w:val="9"/>
    <w:autoRedefine/>
    <w:qFormat/>
    <w:uiPriority w:val="0"/>
    <w:rPr>
      <w:rFonts w:ascii="Calibri" w:hAnsi="Calibri" w:eastAsia="宋体" w:cs="Times New Roman"/>
      <w:b/>
      <w:bCs/>
      <w:sz w:val="28"/>
      <w:szCs w:val="28"/>
    </w:rPr>
  </w:style>
  <w:style w:type="character" w:customStyle="1" w:styleId="43">
    <w:name w:val="标题 6 字符"/>
    <w:link w:val="10"/>
    <w:autoRedefine/>
    <w:qFormat/>
    <w:uiPriority w:val="0"/>
    <w:rPr>
      <w:rFonts w:ascii="Arial" w:hAnsi="Arial" w:eastAsia="黑体" w:cs="Times New Roman"/>
      <w:b/>
      <w:bCs/>
      <w:sz w:val="24"/>
      <w:szCs w:val="24"/>
    </w:rPr>
  </w:style>
  <w:style w:type="character" w:customStyle="1" w:styleId="44">
    <w:name w:val="标题 7 字符"/>
    <w:link w:val="11"/>
    <w:autoRedefine/>
    <w:qFormat/>
    <w:uiPriority w:val="0"/>
    <w:rPr>
      <w:rFonts w:ascii="Calibri" w:hAnsi="Calibri" w:eastAsia="宋体" w:cs="Times New Roman"/>
      <w:b/>
      <w:bCs/>
      <w:sz w:val="24"/>
      <w:szCs w:val="24"/>
    </w:rPr>
  </w:style>
  <w:style w:type="character" w:customStyle="1" w:styleId="45">
    <w:name w:val="标题 8 字符"/>
    <w:link w:val="12"/>
    <w:autoRedefine/>
    <w:qFormat/>
    <w:uiPriority w:val="0"/>
    <w:rPr>
      <w:rFonts w:ascii="Arial" w:hAnsi="Arial" w:eastAsia="黑体" w:cs="Times New Roman"/>
      <w:sz w:val="24"/>
      <w:szCs w:val="24"/>
    </w:rPr>
  </w:style>
  <w:style w:type="character" w:customStyle="1" w:styleId="46">
    <w:name w:val="标题 9 字符"/>
    <w:link w:val="13"/>
    <w:autoRedefine/>
    <w:qFormat/>
    <w:uiPriority w:val="0"/>
    <w:rPr>
      <w:rFonts w:ascii="Arial" w:hAnsi="Arial" w:eastAsia="黑体" w:cs="Times New Roman"/>
      <w:szCs w:val="21"/>
    </w:rPr>
  </w:style>
  <w:style w:type="character" w:customStyle="1" w:styleId="47">
    <w:name w:val="页眉 字符"/>
    <w:link w:val="21"/>
    <w:autoRedefine/>
    <w:qFormat/>
    <w:uiPriority w:val="99"/>
    <w:rPr>
      <w:rFonts w:ascii="Calibri" w:hAnsi="Calibri" w:eastAsia="宋体" w:cs="Times New Roman"/>
      <w:sz w:val="18"/>
      <w:szCs w:val="18"/>
    </w:rPr>
  </w:style>
  <w:style w:type="character" w:customStyle="1" w:styleId="48">
    <w:name w:val="页脚 字符"/>
    <w:link w:val="20"/>
    <w:autoRedefine/>
    <w:qFormat/>
    <w:uiPriority w:val="99"/>
    <w:rPr>
      <w:rFonts w:ascii="宋体" w:hAnsi="Calibri" w:eastAsia="宋体" w:cs="Times New Roman"/>
      <w:sz w:val="18"/>
      <w:szCs w:val="18"/>
    </w:rPr>
  </w:style>
  <w:style w:type="character" w:customStyle="1" w:styleId="49">
    <w:name w:val="批注框文本 字符"/>
    <w:link w:val="19"/>
    <w:autoRedefine/>
    <w:semiHidden/>
    <w:qFormat/>
    <w:uiPriority w:val="99"/>
    <w:rPr>
      <w:rFonts w:ascii="Calibri" w:hAnsi="Calibri" w:eastAsia="宋体" w:cs="Times New Roman"/>
      <w:sz w:val="18"/>
      <w:szCs w:val="18"/>
    </w:rPr>
  </w:style>
  <w:style w:type="paragraph" w:styleId="50">
    <w:name w:val="Quote"/>
    <w:basedOn w:val="1"/>
    <w:next w:val="1"/>
    <w:link w:val="51"/>
    <w:autoRedefine/>
    <w:qFormat/>
    <w:uiPriority w:val="29"/>
    <w:pPr>
      <w:adjustRightInd w:val="0"/>
      <w:spacing w:line="400" w:lineRule="exact"/>
    </w:pPr>
    <w:rPr>
      <w:rFonts w:ascii="Calibri" w:hAnsi="Calibri" w:eastAsia="宋体" w:cs="Times New Roman"/>
      <w:i/>
      <w:iCs/>
      <w:color w:val="000000"/>
      <w:szCs w:val="21"/>
    </w:rPr>
  </w:style>
  <w:style w:type="character" w:customStyle="1" w:styleId="51">
    <w:name w:val="引用 字符"/>
    <w:link w:val="50"/>
    <w:autoRedefine/>
    <w:qFormat/>
    <w:uiPriority w:val="29"/>
    <w:rPr>
      <w:rFonts w:ascii="Calibri" w:hAnsi="Calibri" w:eastAsia="宋体" w:cs="Times New Roman"/>
      <w:i/>
      <w:iCs/>
      <w:color w:val="000000"/>
      <w:szCs w:val="21"/>
    </w:rPr>
  </w:style>
  <w:style w:type="character" w:customStyle="1" w:styleId="52">
    <w:name w:val="标题 字符"/>
    <w:link w:val="29"/>
    <w:autoRedefine/>
    <w:qFormat/>
    <w:uiPriority w:val="0"/>
    <w:rPr>
      <w:rFonts w:ascii="Arial" w:hAnsi="Arial" w:eastAsia="宋体" w:cs="Arial"/>
      <w:b/>
      <w:bCs/>
      <w:sz w:val="32"/>
      <w:szCs w:val="32"/>
    </w:rPr>
  </w:style>
  <w:style w:type="paragraph" w:customStyle="1" w:styleId="53">
    <w:name w:val="标准标志"/>
    <w:next w:val="1"/>
    <w:autoRedefine/>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4">
    <w:name w:val="标准称谓"/>
    <w:next w:val="1"/>
    <w:autoRedefine/>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5">
    <w:name w:val="标准文件_页脚偶数页"/>
    <w:autoRedefine/>
    <w:qFormat/>
    <w:uiPriority w:val="0"/>
    <w:pPr>
      <w:ind w:left="198"/>
    </w:pPr>
    <w:rPr>
      <w:rFonts w:ascii="宋体" w:hAnsi="Times New Roman" w:eastAsia="宋体" w:cs="Times New Roman"/>
      <w:sz w:val="18"/>
      <w:lang w:val="en-US" w:eastAsia="zh-CN" w:bidi="ar-SA"/>
    </w:rPr>
  </w:style>
  <w:style w:type="paragraph" w:customStyle="1" w:styleId="56">
    <w:name w:val="标准文件_页脚奇数页"/>
    <w:autoRedefine/>
    <w:qFormat/>
    <w:uiPriority w:val="0"/>
    <w:pPr>
      <w:ind w:right="227"/>
      <w:jc w:val="right"/>
    </w:pPr>
    <w:rPr>
      <w:rFonts w:ascii="宋体" w:hAnsi="Times New Roman" w:eastAsia="宋体" w:cs="Times New Roman"/>
      <w:sz w:val="18"/>
      <w:lang w:val="en-US" w:eastAsia="zh-CN" w:bidi="ar-SA"/>
    </w:rPr>
  </w:style>
  <w:style w:type="paragraph" w:customStyle="1" w:styleId="57">
    <w:name w:val="标准书眉一"/>
    <w:autoRedefine/>
    <w:qFormat/>
    <w:uiPriority w:val="0"/>
    <w:pPr>
      <w:jc w:val="both"/>
    </w:pPr>
    <w:rPr>
      <w:rFonts w:ascii="Times New Roman" w:hAnsi="Times New Roman" w:eastAsia="宋体" w:cs="Times New Roman"/>
      <w:lang w:val="en-US" w:eastAsia="zh-CN" w:bidi="ar-SA"/>
    </w:rPr>
  </w:style>
  <w:style w:type="paragraph" w:customStyle="1" w:styleId="58">
    <w:name w:val="标准文件_ICS"/>
    <w:basedOn w:val="1"/>
    <w:autoRedefine/>
    <w:qFormat/>
    <w:uiPriority w:val="0"/>
    <w:pPr>
      <w:adjustRightInd w:val="0"/>
      <w:spacing w:line="0" w:lineRule="atLeast"/>
    </w:pPr>
    <w:rPr>
      <w:rFonts w:ascii="黑体" w:hAnsi="宋体" w:eastAsia="黑体" w:cs="Times New Roman"/>
      <w:szCs w:val="21"/>
    </w:rPr>
  </w:style>
  <w:style w:type="paragraph" w:customStyle="1" w:styleId="59">
    <w:name w:val="标准文件_标准正文"/>
    <w:basedOn w:val="1"/>
    <w:next w:val="4"/>
    <w:autoRedefine/>
    <w:qFormat/>
    <w:uiPriority w:val="0"/>
    <w:pPr>
      <w:adjustRightInd w:val="0"/>
      <w:snapToGrid w:val="0"/>
      <w:spacing w:line="400" w:lineRule="exact"/>
      <w:ind w:firstLine="200" w:firstLineChars="200"/>
    </w:pPr>
    <w:rPr>
      <w:rFonts w:ascii="Calibri" w:hAnsi="Calibri" w:eastAsia="宋体" w:cs="Times New Roman"/>
      <w:kern w:val="0"/>
      <w:szCs w:val="21"/>
    </w:rPr>
  </w:style>
  <w:style w:type="paragraph" w:customStyle="1" w:styleId="60">
    <w:name w:val="标准文件_版本"/>
    <w:basedOn w:val="59"/>
    <w:autoRedefine/>
    <w:qFormat/>
    <w:uiPriority w:val="0"/>
    <w:pPr>
      <w:adjustRightInd/>
      <w:snapToGrid/>
      <w:ind w:firstLine="0" w:firstLineChars="0"/>
    </w:pPr>
    <w:rPr>
      <w:rFonts w:ascii="宋体" w:hAnsi="宋体"/>
      <w:kern w:val="2"/>
    </w:rPr>
  </w:style>
  <w:style w:type="paragraph" w:customStyle="1" w:styleId="61">
    <w:name w:val="标准文件_标准部门"/>
    <w:basedOn w:val="1"/>
    <w:autoRedefine/>
    <w:qFormat/>
    <w:uiPriority w:val="0"/>
    <w:pPr>
      <w:adjustRightInd w:val="0"/>
      <w:spacing w:line="400" w:lineRule="exact"/>
      <w:jc w:val="center"/>
    </w:pPr>
    <w:rPr>
      <w:rFonts w:ascii="黑体" w:hAnsi="Calibri" w:eastAsia="黑体" w:cs="Times New Roman"/>
      <w:kern w:val="0"/>
      <w:sz w:val="44"/>
      <w:szCs w:val="21"/>
    </w:rPr>
  </w:style>
  <w:style w:type="paragraph" w:customStyle="1" w:styleId="62">
    <w:name w:val="标准文件_标准代替"/>
    <w:basedOn w:val="1"/>
    <w:next w:val="1"/>
    <w:autoRedefine/>
    <w:qFormat/>
    <w:uiPriority w:val="0"/>
    <w:pPr>
      <w:adjustRightInd w:val="0"/>
      <w:spacing w:line="310" w:lineRule="exact"/>
      <w:jc w:val="right"/>
    </w:pPr>
    <w:rPr>
      <w:rFonts w:ascii="宋体" w:hAnsi="宋体" w:eastAsia="宋体" w:cs="Times New Roman"/>
      <w:kern w:val="0"/>
      <w:szCs w:val="21"/>
    </w:rPr>
  </w:style>
  <w:style w:type="paragraph" w:customStyle="1" w:styleId="63">
    <w:name w:val="标准文件_标准名称标题"/>
    <w:basedOn w:val="1"/>
    <w:next w:val="1"/>
    <w:autoRedefine/>
    <w:qFormat/>
    <w:uiPriority w:val="0"/>
    <w:pPr>
      <w:widowControl/>
      <w:shd w:val="clear" w:color="FFFFFF" w:fill="FFFFFF"/>
      <w:adjustRightInd/>
      <w:spacing w:before="640" w:after="100" w:line="400" w:lineRule="exact"/>
      <w:jc w:val="center"/>
    </w:pPr>
    <w:rPr>
      <w:rFonts w:ascii="黑体" w:hAnsi="Calibri" w:eastAsia="黑体" w:cs="Times New Roman"/>
      <w:kern w:val="0"/>
      <w:sz w:val="32"/>
      <w:szCs w:val="21"/>
    </w:rPr>
  </w:style>
  <w:style w:type="paragraph" w:customStyle="1" w:styleId="64">
    <w:name w:val="标准文件_页眉奇数页"/>
    <w:next w:val="1"/>
    <w:autoRedefine/>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5">
    <w:name w:val="标准文件_页眉偶数页"/>
    <w:basedOn w:val="64"/>
    <w:next w:val="1"/>
    <w:autoRedefine/>
    <w:qFormat/>
    <w:uiPriority w:val="0"/>
    <w:pPr>
      <w:jc w:val="left"/>
    </w:pPr>
  </w:style>
  <w:style w:type="paragraph" w:customStyle="1" w:styleId="66">
    <w:name w:val="标准文件_参考文献标题"/>
    <w:basedOn w:val="1"/>
    <w:next w:val="1"/>
    <w:autoRedefine/>
    <w:qFormat/>
    <w:uiPriority w:val="0"/>
    <w:pPr>
      <w:widowControl/>
      <w:shd w:val="clear" w:color="FFFFFF" w:fill="FFFFFF"/>
      <w:adjustRightInd/>
      <w:spacing w:before="560" w:after="50" w:afterLines="50" w:line="240" w:lineRule="auto"/>
      <w:jc w:val="center"/>
      <w:outlineLvl w:val="0"/>
    </w:pPr>
    <w:rPr>
      <w:rFonts w:ascii="黑体" w:hAnsi="Calibri" w:eastAsia="黑体" w:cs="Times New Roman"/>
      <w:kern w:val="0"/>
      <w:szCs w:val="21"/>
    </w:rPr>
  </w:style>
  <w:style w:type="paragraph" w:customStyle="1" w:styleId="67">
    <w:name w:val="标准文件_参考文献条目"/>
    <w:autoRedefine/>
    <w:qFormat/>
    <w:uiPriority w:val="0"/>
    <w:pPr>
      <w:numPr>
        <w:ilvl w:val="0"/>
        <w:numId w:val="2"/>
      </w:numPr>
    </w:pPr>
    <w:rPr>
      <w:rFonts w:ascii="宋体" w:hAnsi="Times New Roman" w:eastAsia="宋体" w:cs="Times New Roman"/>
      <w:lang w:val="en-US" w:eastAsia="zh-CN" w:bidi="ar-SA"/>
    </w:rPr>
  </w:style>
  <w:style w:type="paragraph" w:customStyle="1" w:styleId="68">
    <w:name w:val="标准文件_二级条标题"/>
    <w:next w:val="4"/>
    <w:autoRedefine/>
    <w:qFormat/>
    <w:uiPriority w:val="0"/>
    <w:pPr>
      <w:widowControl w:val="0"/>
      <w:numPr>
        <w:ilvl w:val="3"/>
        <w:numId w:val="1"/>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9">
    <w:name w:val="标准文件_发布"/>
    <w:autoRedefine/>
    <w:qFormat/>
    <w:uiPriority w:val="0"/>
    <w:rPr>
      <w:rFonts w:ascii="黑体" w:hAnsi="Times New Roman" w:eastAsia="黑体" w:cs="Times New Roman"/>
      <w:spacing w:val="0"/>
      <w:w w:val="100"/>
      <w:position w:val="3"/>
      <w:sz w:val="28"/>
    </w:rPr>
  </w:style>
  <w:style w:type="paragraph" w:customStyle="1" w:styleId="70">
    <w:name w:val="标准文件_方框数字列项"/>
    <w:basedOn w:val="4"/>
    <w:autoRedefine/>
    <w:qFormat/>
    <w:uiPriority w:val="0"/>
    <w:pPr>
      <w:numPr>
        <w:ilvl w:val="0"/>
        <w:numId w:val="3"/>
      </w:numPr>
      <w:ind w:firstLine="0" w:firstLineChars="0"/>
    </w:pPr>
  </w:style>
  <w:style w:type="paragraph" w:customStyle="1" w:styleId="71">
    <w:name w:val="标准文件_封面标准编号"/>
    <w:basedOn w:val="1"/>
    <w:next w:val="62"/>
    <w:autoRedefine/>
    <w:qFormat/>
    <w:uiPriority w:val="0"/>
    <w:pPr>
      <w:adjustRightInd w:val="0"/>
      <w:spacing w:line="310" w:lineRule="exact"/>
      <w:jc w:val="right"/>
    </w:pPr>
    <w:rPr>
      <w:rFonts w:ascii="黑体" w:hAnsi="Calibri" w:eastAsia="黑体" w:cs="Times New Roman"/>
      <w:kern w:val="0"/>
      <w:sz w:val="28"/>
      <w:szCs w:val="21"/>
    </w:rPr>
  </w:style>
  <w:style w:type="paragraph" w:customStyle="1" w:styleId="72">
    <w:name w:val="标准文件_封面标准分类号"/>
    <w:basedOn w:val="1"/>
    <w:autoRedefine/>
    <w:qFormat/>
    <w:uiPriority w:val="0"/>
    <w:pPr>
      <w:adjustRightInd w:val="0"/>
      <w:spacing w:line="400" w:lineRule="exact"/>
    </w:pPr>
    <w:rPr>
      <w:rFonts w:ascii="黑体" w:hAnsi="Calibri" w:eastAsia="黑体" w:cs="Times New Roman"/>
      <w:b/>
      <w:kern w:val="0"/>
      <w:sz w:val="28"/>
      <w:szCs w:val="21"/>
    </w:rPr>
  </w:style>
  <w:style w:type="paragraph" w:customStyle="1" w:styleId="73">
    <w:name w:val="标准文件_封面标准名称"/>
    <w:basedOn w:val="1"/>
    <w:autoRedefine/>
    <w:qFormat/>
    <w:uiPriority w:val="0"/>
    <w:pPr>
      <w:adjustRightInd w:val="0"/>
      <w:spacing w:line="240" w:lineRule="auto"/>
      <w:jc w:val="center"/>
    </w:pPr>
    <w:rPr>
      <w:rFonts w:ascii="黑体" w:hAnsi="Calibri" w:eastAsia="黑体" w:cs="Times New Roman"/>
      <w:kern w:val="0"/>
      <w:sz w:val="52"/>
      <w:szCs w:val="21"/>
    </w:rPr>
  </w:style>
  <w:style w:type="paragraph" w:customStyle="1" w:styleId="74">
    <w:name w:val="标准文件_封面标准英文名称"/>
    <w:basedOn w:val="1"/>
    <w:qFormat/>
    <w:uiPriority w:val="0"/>
    <w:pPr>
      <w:adjustRightInd w:val="0"/>
      <w:spacing w:line="240" w:lineRule="auto"/>
      <w:jc w:val="center"/>
    </w:pPr>
    <w:rPr>
      <w:rFonts w:ascii="黑体" w:hAnsi="Calibri" w:eastAsia="黑体" w:cs="Times New Roman"/>
      <w:b/>
      <w:sz w:val="28"/>
      <w:szCs w:val="21"/>
    </w:rPr>
  </w:style>
  <w:style w:type="paragraph" w:customStyle="1" w:styleId="75">
    <w:name w:val="标准文件_封面发布日期"/>
    <w:basedOn w:val="1"/>
    <w:autoRedefine/>
    <w:qFormat/>
    <w:uiPriority w:val="0"/>
    <w:pPr>
      <w:adjustRightInd w:val="0"/>
      <w:spacing w:line="310" w:lineRule="exact"/>
    </w:pPr>
    <w:rPr>
      <w:rFonts w:ascii="黑体" w:hAnsi="Calibri" w:eastAsia="黑体" w:cs="Times New Roman"/>
      <w:kern w:val="0"/>
      <w:sz w:val="28"/>
      <w:szCs w:val="21"/>
    </w:rPr>
  </w:style>
  <w:style w:type="paragraph" w:customStyle="1" w:styleId="76">
    <w:name w:val="标准文件_封面密级"/>
    <w:basedOn w:val="1"/>
    <w:autoRedefine/>
    <w:qFormat/>
    <w:uiPriority w:val="0"/>
    <w:pPr>
      <w:adjustRightInd w:val="0"/>
      <w:spacing w:line="400" w:lineRule="exact"/>
    </w:pPr>
    <w:rPr>
      <w:rFonts w:ascii="Calibri" w:hAnsi="Calibri" w:eastAsia="黑体" w:cs="Times New Roman"/>
      <w:sz w:val="32"/>
      <w:szCs w:val="21"/>
    </w:rPr>
  </w:style>
  <w:style w:type="paragraph" w:customStyle="1" w:styleId="77">
    <w:name w:val="标准文件_封面实施日期"/>
    <w:basedOn w:val="1"/>
    <w:autoRedefine/>
    <w:qFormat/>
    <w:uiPriority w:val="0"/>
    <w:pPr>
      <w:adjustRightInd w:val="0"/>
      <w:spacing w:line="310" w:lineRule="exact"/>
      <w:jc w:val="right"/>
    </w:pPr>
    <w:rPr>
      <w:rFonts w:ascii="黑体" w:hAnsi="Calibri" w:eastAsia="黑体" w:cs="Times New Roman"/>
      <w:sz w:val="28"/>
      <w:szCs w:val="21"/>
    </w:rPr>
  </w:style>
  <w:style w:type="paragraph" w:customStyle="1" w:styleId="78">
    <w:name w:val="标准文件_封面抬头"/>
    <w:basedOn w:val="4"/>
    <w:autoRedefine/>
    <w:qFormat/>
    <w:uiPriority w:val="0"/>
    <w:pPr>
      <w:adjustRightInd w:val="0"/>
      <w:spacing w:line="800" w:lineRule="exact"/>
      <w:ind w:firstLine="0" w:firstLineChars="0"/>
      <w:jc w:val="distribute"/>
    </w:pPr>
    <w:rPr>
      <w:rFonts w:ascii="黑体" w:eastAsia="黑体"/>
      <w:b/>
      <w:sz w:val="64"/>
    </w:rPr>
  </w:style>
  <w:style w:type="paragraph" w:customStyle="1" w:styleId="79">
    <w:name w:val="标准文件_附录标识"/>
    <w:next w:val="4"/>
    <w:autoRedefine/>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80">
    <w:name w:val="标准文件_附录表标题"/>
    <w:next w:val="4"/>
    <w:autoRedefine/>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81">
    <w:name w:val="标准文件_附录一级条标题"/>
    <w:next w:val="4"/>
    <w:autoRedefine/>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2">
    <w:name w:val="标准文件_附录二级条标题"/>
    <w:basedOn w:val="81"/>
    <w:next w:val="4"/>
    <w:autoRedefine/>
    <w:qFormat/>
    <w:uiPriority w:val="0"/>
    <w:pPr>
      <w:widowControl/>
      <w:numPr>
        <w:ilvl w:val="2"/>
      </w:numPr>
      <w:wordWrap w:val="0"/>
      <w:overflowPunct w:val="0"/>
      <w:autoSpaceDE w:val="0"/>
      <w:autoSpaceDN w:val="0"/>
      <w:textAlignment w:val="baseline"/>
      <w:outlineLvl w:val="3"/>
    </w:pPr>
  </w:style>
  <w:style w:type="paragraph" w:customStyle="1" w:styleId="83">
    <w:name w:val="标准文件_附录公式"/>
    <w:basedOn w:val="59"/>
    <w:next w:val="59"/>
    <w:autoRedefine/>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4">
    <w:name w:val="标准文件_附录三级条标题"/>
    <w:next w:val="4"/>
    <w:autoRedefine/>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5">
    <w:name w:val="标准文件_附录四级条标题"/>
    <w:next w:val="4"/>
    <w:autoRedefine/>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6">
    <w:name w:val="标准文件_附录图标题"/>
    <w:next w:val="4"/>
    <w:autoRedefine/>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7">
    <w:name w:val="标准文件_附录五级条标题"/>
    <w:next w:val="4"/>
    <w:autoRedefine/>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8">
    <w:name w:val="标准文件_附录英文标识"/>
    <w:next w:val="16"/>
    <w:autoRedefine/>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9">
    <w:name w:val="正文文本 字符"/>
    <w:link w:val="16"/>
    <w:autoRedefine/>
    <w:qFormat/>
    <w:uiPriority w:val="0"/>
    <w:rPr>
      <w:rFonts w:ascii="Calibri" w:hAnsi="Calibri" w:eastAsia="宋体" w:cs="Times New Roman"/>
      <w:szCs w:val="21"/>
    </w:rPr>
  </w:style>
  <w:style w:type="paragraph" w:customStyle="1" w:styleId="90">
    <w:name w:val="标准文件_附录章标题"/>
    <w:next w:val="4"/>
    <w:autoRedefine/>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91">
    <w:name w:val="标准文件_公式后的破折号"/>
    <w:basedOn w:val="4"/>
    <w:next w:val="4"/>
    <w:autoRedefine/>
    <w:qFormat/>
    <w:uiPriority w:val="0"/>
    <w:pPr>
      <w:ind w:left="488" w:leftChars="200" w:hanging="289" w:hangingChars="290"/>
    </w:pPr>
  </w:style>
  <w:style w:type="paragraph" w:customStyle="1" w:styleId="92">
    <w:name w:val="标准文件_前言、引言标题"/>
    <w:next w:val="1"/>
    <w:autoRedefine/>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3">
    <w:name w:val="标准文件_目次、标准名称标题"/>
    <w:basedOn w:val="92"/>
    <w:next w:val="4"/>
    <w:autoRedefine/>
    <w:qFormat/>
    <w:uiPriority w:val="0"/>
    <w:pPr>
      <w:spacing w:line="460" w:lineRule="exact"/>
      <w:ind w:left="0" w:firstLine="0"/>
    </w:pPr>
  </w:style>
  <w:style w:type="paragraph" w:customStyle="1" w:styleId="94">
    <w:name w:val="标准文件_目录标题"/>
    <w:basedOn w:val="1"/>
    <w:link w:val="231"/>
    <w:autoRedefine/>
    <w:qFormat/>
    <w:uiPriority w:val="0"/>
    <w:pPr>
      <w:adjustRightInd w:val="0"/>
      <w:spacing w:before="480" w:after="150" w:afterLines="150" w:line="240" w:lineRule="auto"/>
      <w:jc w:val="center"/>
    </w:pPr>
    <w:rPr>
      <w:rFonts w:ascii="黑体" w:hAnsi="Calibri" w:eastAsia="黑体" w:cs="Times New Roman"/>
      <w:sz w:val="32"/>
      <w:szCs w:val="21"/>
    </w:rPr>
  </w:style>
  <w:style w:type="paragraph" w:customStyle="1" w:styleId="95">
    <w:name w:val="标准文件_破折号列项"/>
    <w:autoRedefine/>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6">
    <w:name w:val="标准文件_破折号列项（二级）"/>
    <w:basedOn w:val="95"/>
    <w:autoRedefine/>
    <w:qFormat/>
    <w:uiPriority w:val="0"/>
    <w:pPr>
      <w:numPr>
        <w:numId w:val="10"/>
      </w:numPr>
    </w:pPr>
  </w:style>
  <w:style w:type="paragraph" w:customStyle="1" w:styleId="97">
    <w:name w:val="标准文件_三级条标题"/>
    <w:basedOn w:val="68"/>
    <w:next w:val="4"/>
    <w:autoRedefine/>
    <w:qFormat/>
    <w:uiPriority w:val="0"/>
    <w:pPr>
      <w:widowControl/>
      <w:numPr>
        <w:ilvl w:val="4"/>
      </w:numPr>
      <w:outlineLvl w:val="3"/>
    </w:pPr>
  </w:style>
  <w:style w:type="character" w:customStyle="1" w:styleId="98">
    <w:name w:val="Subtle Reference"/>
    <w:autoRedefine/>
    <w:qFormat/>
    <w:uiPriority w:val="31"/>
    <w:rPr>
      <w:rFonts w:ascii="Times New Roman" w:hAnsi="Times New Roman" w:eastAsia="宋体" w:cs="Times New Roman"/>
      <w:smallCaps/>
      <w:color w:val="C0504D"/>
      <w:u w:val="single"/>
    </w:rPr>
  </w:style>
  <w:style w:type="paragraph" w:customStyle="1" w:styleId="99">
    <w:name w:val="标准文件_示例后续"/>
    <w:basedOn w:val="1"/>
    <w:autoRedefine/>
    <w:qFormat/>
    <w:uiPriority w:val="0"/>
    <w:pPr>
      <w:adjustRightInd/>
      <w:spacing w:line="240" w:lineRule="auto"/>
      <w:ind w:firstLine="200" w:firstLineChars="200"/>
    </w:pPr>
    <w:rPr>
      <w:rFonts w:ascii="Calibri" w:hAnsi="Calibri" w:eastAsia="宋体" w:cs="Times New Roman"/>
      <w:sz w:val="18"/>
      <w:szCs w:val="24"/>
    </w:rPr>
  </w:style>
  <w:style w:type="paragraph" w:customStyle="1" w:styleId="100">
    <w:name w:val="标准文件_数字编号列项"/>
    <w:autoRedefine/>
    <w:qFormat/>
    <w:uiPriority w:val="0"/>
    <w:pPr>
      <w:numPr>
        <w:ilvl w:val="0"/>
        <w:numId w:val="11"/>
      </w:numPr>
      <w:jc w:val="both"/>
    </w:pPr>
    <w:rPr>
      <w:rFonts w:ascii="宋体" w:hAnsi="宋体" w:eastAsia="宋体" w:cs="Times New Roman"/>
      <w:sz w:val="21"/>
      <w:lang w:val="en-US" w:eastAsia="zh-CN" w:bidi="ar-SA"/>
    </w:rPr>
  </w:style>
  <w:style w:type="paragraph" w:customStyle="1" w:styleId="101">
    <w:name w:val="标准文件_四级条标题"/>
    <w:next w:val="4"/>
    <w:autoRedefine/>
    <w:qFormat/>
    <w:uiPriority w:val="0"/>
    <w:pPr>
      <w:widowControl w:val="0"/>
      <w:numPr>
        <w:ilvl w:val="5"/>
        <w:numId w:val="1"/>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2">
    <w:name w:val="脚注文本 字符"/>
    <w:link w:val="24"/>
    <w:autoRedefine/>
    <w:semiHidden/>
    <w:qFormat/>
    <w:uiPriority w:val="0"/>
    <w:rPr>
      <w:rFonts w:ascii="宋体" w:hAnsi="Calibri" w:eastAsia="宋体" w:cs="Times New Roman"/>
      <w:sz w:val="18"/>
      <w:szCs w:val="18"/>
    </w:rPr>
  </w:style>
  <w:style w:type="paragraph" w:customStyle="1" w:styleId="103">
    <w:name w:val="标准文件_条文脚注"/>
    <w:basedOn w:val="24"/>
    <w:autoRedefine/>
    <w:qFormat/>
    <w:uiPriority w:val="0"/>
    <w:pPr>
      <w:adjustRightInd w:val="0"/>
      <w:spacing w:line="240" w:lineRule="auto"/>
      <w:ind w:left="0" w:leftChars="0" w:firstLine="200" w:firstLineChars="200"/>
      <w:jc w:val="both"/>
    </w:pPr>
    <w:rPr>
      <w:rFonts w:hAnsi="宋体"/>
    </w:rPr>
  </w:style>
  <w:style w:type="paragraph" w:customStyle="1" w:styleId="104">
    <w:name w:val="标准文件_图表脚注"/>
    <w:basedOn w:val="1"/>
    <w:next w:val="4"/>
    <w:autoRedefine/>
    <w:qFormat/>
    <w:uiPriority w:val="0"/>
    <w:pPr>
      <w:numPr>
        <w:ilvl w:val="0"/>
        <w:numId w:val="12"/>
      </w:numPr>
      <w:adjustRightInd w:val="0"/>
      <w:spacing w:line="240" w:lineRule="auto"/>
      <w:jc w:val="left"/>
    </w:pPr>
    <w:rPr>
      <w:rFonts w:ascii="宋体" w:hAnsi="宋体" w:eastAsia="宋体" w:cs="Times New Roman"/>
      <w:sz w:val="18"/>
      <w:szCs w:val="21"/>
    </w:rPr>
  </w:style>
  <w:style w:type="character" w:customStyle="1" w:styleId="105">
    <w:name w:val="标准文件_图表脚注内容"/>
    <w:autoRedefine/>
    <w:qFormat/>
    <w:uiPriority w:val="0"/>
    <w:rPr>
      <w:rFonts w:ascii="宋体" w:hAnsi="宋体" w:eastAsia="宋体" w:cs="Times New Roman"/>
      <w:spacing w:val="0"/>
      <w:sz w:val="18"/>
      <w:vertAlign w:val="superscript"/>
    </w:rPr>
  </w:style>
  <w:style w:type="paragraph" w:customStyle="1" w:styleId="106">
    <w:name w:val="标准文件_五级条标题"/>
    <w:next w:val="4"/>
    <w:autoRedefine/>
    <w:qFormat/>
    <w:uiPriority w:val="0"/>
    <w:pPr>
      <w:widowControl w:val="0"/>
      <w:numPr>
        <w:ilvl w:val="6"/>
        <w:numId w:val="1"/>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7">
    <w:name w:val="标准文件_一致程度"/>
    <w:basedOn w:val="1"/>
    <w:autoRedefine/>
    <w:qFormat/>
    <w:uiPriority w:val="0"/>
    <w:pPr>
      <w:adjustRightInd w:val="0"/>
      <w:spacing w:line="440" w:lineRule="exact"/>
      <w:jc w:val="center"/>
    </w:pPr>
    <w:rPr>
      <w:rFonts w:ascii="Calibri" w:hAnsi="Calibri" w:eastAsia="宋体" w:cs="Times New Roman"/>
      <w:sz w:val="28"/>
      <w:szCs w:val="21"/>
    </w:rPr>
  </w:style>
  <w:style w:type="paragraph" w:customStyle="1" w:styleId="108">
    <w:name w:val="标准文件_引言标题"/>
    <w:next w:val="1"/>
    <w:autoRedefine/>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9"/>
    <w:autoRedefine/>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autoRedefine/>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4"/>
    <w:autoRedefine/>
    <w:qFormat/>
    <w:uiPriority w:val="0"/>
    <w:pPr>
      <w:numPr>
        <w:ilvl w:val="0"/>
        <w:numId w:val="14"/>
      </w:numPr>
      <w:tabs>
        <w:tab w:val="left" w:pos="420"/>
      </w:tabs>
      <w:autoSpaceDE w:val="0"/>
      <w:autoSpaceDN w:val="0"/>
      <w:adjustRightInd w:val="0"/>
      <w:spacing w:line="240" w:lineRule="auto"/>
    </w:pPr>
    <w:rPr>
      <w:rFonts w:ascii="宋体" w:hAnsi="宋体" w:eastAsia="宋体" w:cs="Times New Roman"/>
      <w:kern w:val="0"/>
      <w:sz w:val="18"/>
      <w:szCs w:val="20"/>
    </w:rPr>
  </w:style>
  <w:style w:type="paragraph" w:customStyle="1" w:styleId="112">
    <w:name w:val="标准文件_英文注×："/>
    <w:basedOn w:val="1"/>
    <w:autoRedefine/>
    <w:qFormat/>
    <w:uiPriority w:val="0"/>
    <w:pPr>
      <w:numPr>
        <w:ilvl w:val="0"/>
        <w:numId w:val="15"/>
      </w:numPr>
      <w:tabs>
        <w:tab w:val="left" w:pos="210"/>
      </w:tabs>
      <w:autoSpaceDE w:val="0"/>
      <w:autoSpaceDN w:val="0"/>
      <w:adjustRightInd w:val="0"/>
      <w:spacing w:line="240" w:lineRule="auto"/>
    </w:pPr>
    <w:rPr>
      <w:rFonts w:ascii="宋体" w:hAnsi="宋体" w:eastAsia="宋体" w:cs="Times New Roman"/>
      <w:kern w:val="0"/>
      <w:szCs w:val="20"/>
    </w:rPr>
  </w:style>
  <w:style w:type="paragraph" w:customStyle="1" w:styleId="113">
    <w:name w:val="标准文件_正文表标题"/>
    <w:next w:val="4"/>
    <w:autoRedefine/>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9"/>
    <w:autoRedefine/>
    <w:qFormat/>
    <w:uiPriority w:val="0"/>
    <w:pPr>
      <w:tabs>
        <w:tab w:val="center" w:pos="4678"/>
        <w:tab w:val="right" w:leader="middleDot" w:pos="9356"/>
      </w:tabs>
      <w:adjustRightInd w:val="0"/>
      <w:spacing w:line="240" w:lineRule="auto"/>
    </w:pPr>
    <w:rPr>
      <w:rFonts w:ascii="宋体" w:hAnsi="宋体" w:eastAsia="宋体" w:cs="Times New Roman"/>
      <w:szCs w:val="21"/>
    </w:rPr>
  </w:style>
  <w:style w:type="paragraph" w:customStyle="1" w:styleId="115">
    <w:name w:val="标准文件_正文图标题"/>
    <w:next w:val="4"/>
    <w:autoRedefine/>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4"/>
    <w:autoRedefine/>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4"/>
    <w:autoRedefine/>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autoRedefine/>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autoRedefine/>
    <w:qFormat/>
    <w:uiPriority w:val="0"/>
    <w:pPr>
      <w:numPr>
        <w:ilvl w:val="3"/>
        <w:numId w:val="20"/>
      </w:numPr>
      <w:adjustRightInd/>
      <w:spacing w:line="240" w:lineRule="auto"/>
    </w:pPr>
    <w:rPr>
      <w:rFonts w:ascii="宋体" w:hAnsi="宋体" w:eastAsia="宋体" w:cs="Times New Roman"/>
      <w:szCs w:val="24"/>
    </w:rPr>
  </w:style>
  <w:style w:type="paragraph" w:customStyle="1" w:styleId="120">
    <w:name w:val="发布部门"/>
    <w:next w:val="4"/>
    <w:autoRedefine/>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autoRedefine/>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autoRedefine/>
    <w:qFormat/>
    <w:uiPriority w:val="0"/>
    <w:pPr>
      <w:framePr w:w="9138" w:h="1244" w:hRule="exact" w:wrap="auto" w:vAnchor="page" w:hAnchor="margin" w:y="2908"/>
      <w:kinsoku w:val="0"/>
      <w:overflowPunct w:val="0"/>
      <w:autoSpaceDE w:val="0"/>
      <w:autoSpaceDN w:val="0"/>
      <w:adjustRightInd w:val="0"/>
      <w:spacing w:before="57" w:line="280" w:lineRule="exact"/>
      <w:jc w:val="right"/>
      <w:textAlignment w:val="center"/>
    </w:pPr>
    <w:rPr>
      <w:rFonts w:ascii="宋体" w:hAnsi="Times New Roman" w:eastAsia="宋体" w:cs="Times New Roman"/>
      <w:kern w:val="0"/>
      <w:szCs w:val="20"/>
    </w:rPr>
  </w:style>
  <w:style w:type="paragraph" w:customStyle="1" w:styleId="123">
    <w:name w:val="封面标准名称"/>
    <w:autoRedefine/>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autoRedefine/>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autoRedefine/>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autoRedefine/>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autoRedefine/>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autoRedefine/>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4"/>
    <w:autoRedefine/>
    <w:qFormat/>
    <w:uiPriority w:val="0"/>
    <w:pPr>
      <w:widowControl/>
      <w:wordWrap w:val="0"/>
      <w:overflowPunct w:val="0"/>
      <w:autoSpaceDE w:val="0"/>
      <w:autoSpaceDN w:val="0"/>
      <w:adjustRightInd/>
      <w:spacing w:line="240" w:lineRule="auto"/>
      <w:textAlignment w:val="baseline"/>
      <w:outlineLvl w:val="3"/>
    </w:pPr>
    <w:rPr>
      <w:rFonts w:ascii="宋体" w:hAnsi="宋体" w:eastAsia="宋体" w:cs="Times New Roman"/>
      <w:kern w:val="21"/>
      <w:szCs w:val="21"/>
    </w:rPr>
  </w:style>
  <w:style w:type="paragraph" w:customStyle="1" w:styleId="130">
    <w:name w:val="附录三级无标题条"/>
    <w:basedOn w:val="129"/>
    <w:next w:val="4"/>
    <w:autoRedefine/>
    <w:qFormat/>
    <w:uiPriority w:val="0"/>
    <w:pPr>
      <w:outlineLvl w:val="4"/>
    </w:pPr>
  </w:style>
  <w:style w:type="paragraph" w:customStyle="1" w:styleId="131">
    <w:name w:val="附录四级无标题条"/>
    <w:basedOn w:val="130"/>
    <w:next w:val="4"/>
    <w:autoRedefine/>
    <w:qFormat/>
    <w:uiPriority w:val="0"/>
    <w:pPr>
      <w:outlineLvl w:val="5"/>
    </w:pPr>
  </w:style>
  <w:style w:type="paragraph" w:customStyle="1" w:styleId="132">
    <w:name w:val="附录图"/>
    <w:next w:val="4"/>
    <w:autoRedefine/>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autoRedefine/>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4"/>
    <w:autoRedefine/>
    <w:qFormat/>
    <w:uiPriority w:val="0"/>
    <w:pPr>
      <w:outlineLvl w:val="6"/>
    </w:pPr>
  </w:style>
  <w:style w:type="paragraph" w:customStyle="1" w:styleId="135">
    <w:name w:val="附录性质"/>
    <w:basedOn w:val="1"/>
    <w:autoRedefine/>
    <w:qFormat/>
    <w:uiPriority w:val="0"/>
    <w:pPr>
      <w:widowControl/>
      <w:adjustRightInd/>
      <w:spacing w:line="400" w:lineRule="exact"/>
      <w:jc w:val="center"/>
    </w:pPr>
    <w:rPr>
      <w:rFonts w:ascii="黑体" w:hAnsi="Calibri" w:eastAsia="黑体" w:cs="Times New Roman"/>
      <w:szCs w:val="21"/>
    </w:rPr>
  </w:style>
  <w:style w:type="paragraph" w:customStyle="1" w:styleId="136">
    <w:name w:val="附录一级无标题条"/>
    <w:basedOn w:val="90"/>
    <w:next w:val="4"/>
    <w:autoRedefine/>
    <w:qFormat/>
    <w:uiPriority w:val="0"/>
    <w:pPr>
      <w:autoSpaceDN w:val="0"/>
      <w:outlineLvl w:val="2"/>
    </w:pPr>
    <w:rPr>
      <w:rFonts w:ascii="宋体" w:hAnsi="宋体" w:eastAsia="宋体"/>
    </w:rPr>
  </w:style>
  <w:style w:type="character" w:customStyle="1" w:styleId="137">
    <w:name w:val="个人答复风格"/>
    <w:autoRedefine/>
    <w:qFormat/>
    <w:uiPriority w:val="0"/>
    <w:rPr>
      <w:rFonts w:ascii="Arial" w:hAnsi="Arial" w:eastAsia="宋体" w:cs="Arial"/>
      <w:color w:val="auto"/>
      <w:spacing w:val="0"/>
      <w:sz w:val="20"/>
    </w:rPr>
  </w:style>
  <w:style w:type="character" w:customStyle="1" w:styleId="138">
    <w:name w:val="个人撰写风格"/>
    <w:autoRedefine/>
    <w:qFormat/>
    <w:uiPriority w:val="0"/>
    <w:rPr>
      <w:rFonts w:ascii="Arial" w:hAnsi="Arial" w:eastAsia="宋体" w:cs="Arial"/>
      <w:color w:val="auto"/>
      <w:spacing w:val="0"/>
      <w:sz w:val="20"/>
    </w:rPr>
  </w:style>
  <w:style w:type="paragraph" w:customStyle="1" w:styleId="139">
    <w:name w:val="脚注后续"/>
    <w:autoRedefine/>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autoRedefine/>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4"/>
    <w:autoRedefine/>
    <w:qFormat/>
    <w:uiPriority w:val="0"/>
    <w:pPr>
      <w:tabs>
        <w:tab w:val="left" w:pos="840"/>
      </w:tabs>
    </w:pPr>
  </w:style>
  <w:style w:type="paragraph" w:customStyle="1" w:styleId="142">
    <w:name w:val="目次、索引正文"/>
    <w:link w:val="232"/>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rFonts w:ascii="Calibri" w:hAnsi="Calibri" w:eastAsia="宋体" w:cs="Times New Roman"/>
      <w:bCs/>
      <w:iCs/>
      <w:szCs w:val="21"/>
    </w:rPr>
  </w:style>
  <w:style w:type="paragraph" w:customStyle="1" w:styleId="144">
    <w:name w:val="目录 31"/>
    <w:basedOn w:val="1"/>
    <w:next w:val="1"/>
    <w:semiHidden/>
    <w:qFormat/>
    <w:uiPriority w:val="0"/>
    <w:pPr>
      <w:adjustRightInd w:val="0"/>
      <w:spacing w:line="240" w:lineRule="auto"/>
    </w:pPr>
    <w:rPr>
      <w:rFonts w:ascii="宋体" w:hAnsi="宋体" w:eastAsia="宋体" w:cs="Times New Roman"/>
      <w:iCs/>
      <w:szCs w:val="21"/>
    </w:rPr>
  </w:style>
  <w:style w:type="paragraph" w:customStyle="1" w:styleId="145">
    <w:name w:val="目录 41"/>
    <w:basedOn w:val="1"/>
    <w:next w:val="1"/>
    <w:semiHidden/>
    <w:qFormat/>
    <w:uiPriority w:val="0"/>
    <w:pPr>
      <w:adjustRightInd/>
      <w:spacing w:line="240" w:lineRule="auto"/>
      <w:jc w:val="left"/>
    </w:pPr>
    <w:rPr>
      <w:rFonts w:ascii="Calibri" w:hAnsi="Calibri" w:eastAsia="宋体" w:cs="Times New Roman"/>
      <w:szCs w:val="21"/>
    </w:rPr>
  </w:style>
  <w:style w:type="paragraph" w:customStyle="1" w:styleId="146">
    <w:name w:val="目录 51"/>
    <w:basedOn w:val="1"/>
    <w:next w:val="1"/>
    <w:semiHidden/>
    <w:qFormat/>
    <w:uiPriority w:val="0"/>
    <w:pPr>
      <w:adjustRightInd w:val="0"/>
      <w:spacing w:line="240" w:lineRule="auto"/>
    </w:pPr>
    <w:rPr>
      <w:rFonts w:ascii="宋体" w:hAnsi="宋体" w:eastAsia="宋体" w:cs="Times New Roman"/>
      <w:szCs w:val="21"/>
    </w:rPr>
  </w:style>
  <w:style w:type="paragraph" w:customStyle="1" w:styleId="147">
    <w:name w:val="目录 61"/>
    <w:basedOn w:val="1"/>
    <w:next w:val="1"/>
    <w:semiHidden/>
    <w:qFormat/>
    <w:uiPriority w:val="0"/>
    <w:pPr>
      <w:adjustRightInd/>
      <w:spacing w:line="240" w:lineRule="auto"/>
      <w:jc w:val="left"/>
    </w:pPr>
    <w:rPr>
      <w:rFonts w:ascii="Calibri" w:hAnsi="Calibri" w:eastAsia="宋体" w:cs="Times New Roman"/>
      <w:szCs w:val="21"/>
    </w:r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1"/>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eastAsia="宋体" w:cs="Times New Roman"/>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eastAsia="宋体" w:cs="Times New Roman"/>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4"/>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spacing w:line="400" w:lineRule="exact"/>
    </w:pPr>
    <w:rPr>
      <w:rFonts w:ascii="Calibri" w:hAnsi="Calibri" w:eastAsia="宋体" w:cs="Times New Roman"/>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eastAsia="宋体" w:cs="Times New Roman"/>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6"/>
    <w:qFormat/>
    <w:uiPriority w:val="0"/>
    <w:pPr>
      <w:spacing w:before="0" w:beforeLines="0" w:after="0" w:afterLines="0"/>
      <w:outlineLvl w:val="9"/>
    </w:pPr>
    <w:rPr>
      <w:rFonts w:ascii="宋体" w:eastAsia="宋体"/>
    </w:rPr>
  </w:style>
  <w:style w:type="paragraph" w:customStyle="1" w:styleId="164">
    <w:name w:val="标准文件_五级无标题"/>
    <w:basedOn w:val="106"/>
    <w:qFormat/>
    <w:uiPriority w:val="0"/>
    <w:pPr>
      <w:spacing w:before="0" w:beforeLines="0" w:after="0" w:afterLines="0"/>
      <w:outlineLvl w:val="9"/>
    </w:pPr>
    <w:rPr>
      <w:rFonts w:ascii="宋体" w:eastAsia="宋体"/>
    </w:rPr>
  </w:style>
  <w:style w:type="paragraph" w:customStyle="1" w:styleId="165">
    <w:name w:val="标准文件_三级无标题"/>
    <w:basedOn w:val="97"/>
    <w:link w:val="239"/>
    <w:qFormat/>
    <w:uiPriority w:val="0"/>
    <w:pPr>
      <w:spacing w:before="0" w:beforeLines="0" w:after="0" w:afterLines="0"/>
      <w:outlineLvl w:val="9"/>
    </w:pPr>
    <w:rPr>
      <w:rFonts w:ascii="宋体" w:eastAsia="宋体"/>
    </w:rPr>
  </w:style>
  <w:style w:type="paragraph" w:customStyle="1" w:styleId="166">
    <w:name w:val="标准文件_二级无标题"/>
    <w:basedOn w:val="68"/>
    <w:link w:val="234"/>
    <w:qFormat/>
    <w:uiPriority w:val="0"/>
    <w:pPr>
      <w:spacing w:before="0" w:beforeLines="0" w:after="0" w:afterLines="0"/>
      <w:outlineLvl w:val="9"/>
    </w:pPr>
    <w:rPr>
      <w:rFonts w:ascii="宋体" w:eastAsia="宋体"/>
    </w:rPr>
  </w:style>
  <w:style w:type="paragraph" w:customStyle="1" w:styleId="167">
    <w:name w:val="标准_四级无标题"/>
    <w:basedOn w:val="101"/>
    <w:next w:val="4"/>
    <w:link w:val="235"/>
    <w:qFormat/>
    <w:uiPriority w:val="0"/>
    <w:rPr>
      <w:rFonts w:eastAsia="宋体"/>
    </w:rPr>
  </w:style>
  <w:style w:type="paragraph" w:customStyle="1" w:styleId="168">
    <w:name w:val="标准文件_四级无标题"/>
    <w:basedOn w:val="101"/>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4"/>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4"/>
    <w:qFormat/>
    <w:uiPriority w:val="0"/>
    <w:pPr>
      <w:numPr>
        <w:ilvl w:val="0"/>
        <w:numId w:val="24"/>
      </w:numPr>
      <w:ind w:firstLine="0" w:firstLineChars="0"/>
    </w:pPr>
    <w:rPr>
      <w:rFonts w:cs="Arial"/>
      <w:szCs w:val="28"/>
    </w:rPr>
  </w:style>
  <w:style w:type="paragraph" w:customStyle="1" w:styleId="171">
    <w:name w:val="标准文件_附录标题"/>
    <w:basedOn w:val="79"/>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adjustRightInd w:val="0"/>
      <w:spacing w:line="536870612" w:lineRule="auto"/>
    </w:pPr>
    <w:rPr>
      <w:rFonts w:ascii="Times New Roman" w:hAnsi="Times New Roman" w:eastAsia="宋体" w:cs="Times New Roman"/>
      <w:szCs w:val="21"/>
    </w:rPr>
  </w:style>
  <w:style w:type="paragraph" w:customStyle="1" w:styleId="174">
    <w:name w:val="图表脚注说明"/>
    <w:basedOn w:val="1"/>
    <w:next w:val="4"/>
    <w:qFormat/>
    <w:uiPriority w:val="0"/>
    <w:pPr>
      <w:numPr>
        <w:ilvl w:val="0"/>
        <w:numId w:val="25"/>
      </w:numPr>
      <w:adjustRightInd/>
      <w:spacing w:line="240" w:lineRule="auto"/>
    </w:pPr>
    <w:rPr>
      <w:rFonts w:ascii="宋体" w:hAnsi="Times New Roman" w:eastAsia="宋体" w:cs="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4"/>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4"/>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4"/>
    <w:qFormat/>
    <w:uiPriority w:val="0"/>
    <w:pPr>
      <w:ind w:firstLine="0" w:firstLineChars="0"/>
      <w:jc w:val="center"/>
    </w:pPr>
    <w:rPr>
      <w:sz w:val="18"/>
    </w:rPr>
  </w:style>
  <w:style w:type="paragraph" w:customStyle="1" w:styleId="180">
    <w:name w:val="标准文件_注："/>
    <w:next w:val="4"/>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4"/>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eastAsia="宋体" w:cs="Times New Roman"/>
      <w:kern w:val="0"/>
      <w:sz w:val="18"/>
      <w:szCs w:val="18"/>
    </w:rPr>
  </w:style>
  <w:style w:type="character" w:customStyle="1" w:styleId="185">
    <w:name w:val="标准文件_段 Char"/>
    <w:link w:val="4"/>
    <w:qFormat/>
    <w:uiPriority w:val="0"/>
    <w:rPr>
      <w:rFonts w:ascii="宋体" w:hAnsi="宋体" w:eastAsia="宋体" w:cs="Times New Roman"/>
      <w:sz w:val="28"/>
      <w:lang w:val="en-US" w:eastAsia="zh-CN" w:bidi="ar-SA"/>
    </w:rPr>
  </w:style>
  <w:style w:type="paragraph" w:customStyle="1" w:styleId="186">
    <w:name w:val="标准文件_表格续"/>
    <w:basedOn w:val="4"/>
    <w:next w:val="4"/>
    <w:qFormat/>
    <w:uiPriority w:val="0"/>
    <w:pPr>
      <w:jc w:val="center"/>
    </w:pPr>
    <w:rPr>
      <w:rFonts w:ascii="黑体" w:hAnsi="黑体" w:eastAsia="黑体"/>
    </w:rPr>
  </w:style>
  <w:style w:type="character" w:styleId="187">
    <w:name w:val="Placeholder Text"/>
    <w:basedOn w:val="32"/>
    <w:semiHidden/>
    <w:qFormat/>
    <w:uiPriority w:val="99"/>
    <w:rPr>
      <w:rFonts w:ascii="Times New Roman" w:hAnsi="Times New Roman" w:eastAsia="宋体" w:cs="Times New Roman"/>
      <w:color w:val="808080"/>
    </w:rPr>
  </w:style>
  <w:style w:type="paragraph" w:customStyle="1" w:styleId="188">
    <w:name w:val="标准文件_二级项2"/>
    <w:basedOn w:val="4"/>
    <w:qFormat/>
    <w:uiPriority w:val="0"/>
    <w:pPr>
      <w:numPr>
        <w:ilvl w:val="1"/>
        <w:numId w:val="21"/>
      </w:numPr>
      <w:ind w:firstLine="0" w:firstLineChars="0"/>
    </w:pPr>
  </w:style>
  <w:style w:type="paragraph" w:customStyle="1" w:styleId="189">
    <w:name w:val="标准文件_三级项2"/>
    <w:basedOn w:val="4"/>
    <w:qFormat/>
    <w:uiPriority w:val="0"/>
    <w:pPr>
      <w:numPr>
        <w:ilvl w:val="0"/>
        <w:numId w:val="30"/>
      </w:numPr>
      <w:spacing w:line="300" w:lineRule="exact"/>
      <w:ind w:firstLineChars="0"/>
    </w:pPr>
    <w:rPr>
      <w:rFonts w:ascii="Times New Roman"/>
    </w:rPr>
  </w:style>
  <w:style w:type="paragraph" w:customStyle="1" w:styleId="190">
    <w:name w:val="标准文件_一级项2"/>
    <w:basedOn w:val="4"/>
    <w:qFormat/>
    <w:uiPriority w:val="0"/>
    <w:pPr>
      <w:numPr>
        <w:ilvl w:val="0"/>
        <w:numId w:val="31"/>
      </w:numPr>
      <w:spacing w:line="300" w:lineRule="exact"/>
      <w:ind w:firstLineChars="0"/>
    </w:pPr>
    <w:rPr>
      <w:rFonts w:ascii="Times New Roman"/>
    </w:rPr>
  </w:style>
  <w:style w:type="paragraph" w:customStyle="1" w:styleId="191">
    <w:name w:val="标准文件_提示"/>
    <w:basedOn w:val="4"/>
    <w:next w:val="4"/>
    <w:qFormat/>
    <w:uiPriority w:val="0"/>
    <w:pPr>
      <w:ind w:firstLine="420"/>
    </w:pPr>
    <w:rPr>
      <w:rFonts w:ascii="黑体" w:eastAsia="黑体"/>
    </w:rPr>
  </w:style>
  <w:style w:type="character" w:customStyle="1" w:styleId="192">
    <w:name w:val="标准文件_来源"/>
    <w:basedOn w:val="32"/>
    <w:qFormat/>
    <w:uiPriority w:val="1"/>
    <w:rPr>
      <w:rFonts w:ascii="Times New Roman" w:hAnsi="Times New Roman" w:eastAsia="宋体" w:cs="Times New Roman"/>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wrap="around" w:vAnchor="page" w:hAnchor="page" w:x="1419" w:y="14097"/>
    </w:pPr>
  </w:style>
  <w:style w:type="paragraph" w:customStyle="1" w:styleId="195">
    <w:name w:val="其他实施日期"/>
    <w:basedOn w:val="155"/>
    <w:qFormat/>
    <w:uiPriority w:val="0"/>
    <w:pPr>
      <w:framePr w:w="3997" w:h="471" w:hRule="exact" w:vSpace="181" w:wrap="around" w:vAnchor="page" w:hAnchor="page" w:x="7089" w:y="14097"/>
    </w:pPr>
  </w:style>
  <w:style w:type="paragraph" w:customStyle="1" w:styleId="196">
    <w:name w:val="标准文件_文件编号"/>
    <w:basedOn w:val="4"/>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4"/>
    <w:next w:val="4"/>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4"/>
    <w:next w:val="4"/>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4"/>
    <w:next w:val="4"/>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4"/>
    <w:next w:val="4"/>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4"/>
    <w:next w:val="4"/>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4"/>
    <w:next w:val="4"/>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4"/>
    <w:next w:val="4"/>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4"/>
    <w:next w:val="4"/>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4"/>
    <w:qFormat/>
    <w:uiPriority w:val="0"/>
    <w:pPr>
      <w:ind w:left="811" w:firstLine="0" w:firstLineChars="0"/>
    </w:pPr>
    <w:rPr>
      <w:sz w:val="18"/>
    </w:rPr>
  </w:style>
  <w:style w:type="paragraph" w:customStyle="1" w:styleId="207">
    <w:name w:val="标准文件_注X后"/>
    <w:basedOn w:val="4"/>
    <w:qFormat/>
    <w:uiPriority w:val="0"/>
    <w:pPr>
      <w:ind w:left="811" w:firstLine="0" w:firstLineChars="0"/>
    </w:pPr>
    <w:rPr>
      <w:sz w:val="18"/>
    </w:rPr>
  </w:style>
  <w:style w:type="paragraph" w:customStyle="1" w:styleId="208">
    <w:name w:val="标准文件_示例后"/>
    <w:basedOn w:val="4"/>
    <w:qFormat/>
    <w:uiPriority w:val="0"/>
    <w:pPr>
      <w:ind w:left="964" w:firstLine="0" w:firstLineChars="0"/>
    </w:pPr>
    <w:rPr>
      <w:sz w:val="18"/>
    </w:rPr>
  </w:style>
  <w:style w:type="paragraph" w:customStyle="1" w:styleId="209">
    <w:name w:val="标准文件_示例X后"/>
    <w:basedOn w:val="4"/>
    <w:link w:val="210"/>
    <w:qFormat/>
    <w:uiPriority w:val="0"/>
    <w:pPr>
      <w:ind w:left="1049" w:firstLine="0" w:firstLineChars="0"/>
    </w:pPr>
    <w:rPr>
      <w:sz w:val="18"/>
    </w:rPr>
  </w:style>
  <w:style w:type="character" w:customStyle="1" w:styleId="210">
    <w:name w:val="标准文件_示例X后 字符"/>
    <w:basedOn w:val="185"/>
    <w:link w:val="209"/>
    <w:qFormat/>
    <w:uiPriority w:val="0"/>
    <w:rPr>
      <w:sz w:val="18"/>
    </w:rPr>
  </w:style>
  <w:style w:type="paragraph" w:customStyle="1" w:styleId="211">
    <w:name w:val="标准文件_索引项"/>
    <w:basedOn w:val="4"/>
    <w:next w:val="4"/>
    <w:qFormat/>
    <w:uiPriority w:val="0"/>
    <w:pPr>
      <w:tabs>
        <w:tab w:val="right" w:leader="dot" w:pos="9356"/>
      </w:tabs>
      <w:ind w:left="210" w:hanging="210" w:firstLineChars="0"/>
      <w:jc w:val="left"/>
    </w:pPr>
  </w:style>
  <w:style w:type="paragraph" w:customStyle="1" w:styleId="212">
    <w:name w:val="标准文件_附录一级无标题"/>
    <w:basedOn w:val="81"/>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2"/>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4"/>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5"/>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7"/>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4"/>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4"/>
    <w:qFormat/>
    <w:uiPriority w:val="0"/>
    <w:pPr>
      <w:spacing w:before="0" w:beforeLines="0" w:after="0" w:afterLines="0" w:line="276" w:lineRule="auto"/>
    </w:pPr>
    <w:rPr>
      <w:rFonts w:ascii="宋体" w:eastAsia="宋体"/>
    </w:rPr>
  </w:style>
  <w:style w:type="paragraph" w:customStyle="1" w:styleId="219">
    <w:name w:val="标准文件_引言三级无标题"/>
    <w:basedOn w:val="203"/>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4"/>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4"/>
    <w:qFormat/>
    <w:uiPriority w:val="0"/>
    <w:pPr>
      <w:spacing w:before="0" w:beforeLines="0" w:after="0" w:afterLines="0" w:line="276" w:lineRule="auto"/>
    </w:pPr>
    <w:rPr>
      <w:rFonts w:ascii="宋体" w:eastAsia="宋体"/>
    </w:rPr>
  </w:style>
  <w:style w:type="paragraph" w:customStyle="1" w:styleId="222">
    <w:name w:val="标准文件_索引标题"/>
    <w:basedOn w:val="66"/>
    <w:next w:val="4"/>
    <w:qFormat/>
    <w:uiPriority w:val="0"/>
    <w:rPr>
      <w:rFonts w:hAnsi="黑体"/>
    </w:rPr>
  </w:style>
  <w:style w:type="paragraph" w:customStyle="1" w:styleId="223">
    <w:name w:val="标准文件_脚注内容"/>
    <w:basedOn w:val="4"/>
    <w:qFormat/>
    <w:uiPriority w:val="0"/>
    <w:pPr>
      <w:ind w:left="400" w:leftChars="200" w:hanging="200" w:hangingChars="200"/>
    </w:pPr>
    <w:rPr>
      <w:sz w:val="15"/>
    </w:rPr>
  </w:style>
  <w:style w:type="paragraph" w:customStyle="1" w:styleId="224">
    <w:name w:val="标准文件_术语条一"/>
    <w:basedOn w:val="163"/>
    <w:next w:val="4"/>
    <w:qFormat/>
    <w:uiPriority w:val="0"/>
  </w:style>
  <w:style w:type="paragraph" w:customStyle="1" w:styleId="225">
    <w:name w:val="标准文件_术语条二"/>
    <w:basedOn w:val="166"/>
    <w:next w:val="4"/>
    <w:qFormat/>
    <w:uiPriority w:val="0"/>
  </w:style>
  <w:style w:type="paragraph" w:customStyle="1" w:styleId="226">
    <w:name w:val="标准文件_术语条三"/>
    <w:basedOn w:val="165"/>
    <w:next w:val="4"/>
    <w:qFormat/>
    <w:uiPriority w:val="0"/>
  </w:style>
  <w:style w:type="paragraph" w:customStyle="1" w:styleId="227">
    <w:name w:val="标准文件_术语条四"/>
    <w:basedOn w:val="168"/>
    <w:next w:val="4"/>
    <w:qFormat/>
    <w:uiPriority w:val="0"/>
  </w:style>
  <w:style w:type="paragraph" w:customStyle="1" w:styleId="228">
    <w:name w:val="标准文件_术语条五"/>
    <w:basedOn w:val="164"/>
    <w:next w:val="4"/>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32"/>
    <w:qFormat/>
    <w:uiPriority w:val="0"/>
    <w:rPr>
      <w:rFonts w:ascii="黑体" w:hAnsi="Times New Roman" w:eastAsia="黑体" w:cs="Times New Roman"/>
      <w:spacing w:val="85"/>
      <w:w w:val="100"/>
      <w:position w:val="3"/>
      <w:sz w:val="28"/>
      <w:szCs w:val="28"/>
    </w:rPr>
  </w:style>
  <w:style w:type="character" w:customStyle="1" w:styleId="231">
    <w:name w:val="标准文件_目录标题 Char"/>
    <w:link w:val="94"/>
    <w:qFormat/>
    <w:uiPriority w:val="0"/>
    <w:rPr>
      <w:rFonts w:ascii="黑体" w:hAnsi="Calibri" w:eastAsia="黑体" w:cs="Times New Roman"/>
      <w:sz w:val="32"/>
      <w:szCs w:val="21"/>
    </w:rPr>
  </w:style>
  <w:style w:type="character" w:customStyle="1" w:styleId="232">
    <w:name w:val="目次、索引正文 Char"/>
    <w:link w:val="142"/>
    <w:qFormat/>
    <w:uiPriority w:val="0"/>
    <w:rPr>
      <w:rFonts w:ascii="宋体" w:hAnsi="Times New Roman" w:eastAsia="宋体" w:cs="Times New Roman"/>
      <w:sz w:val="21"/>
      <w:lang w:val="en-US" w:eastAsia="zh-CN" w:bidi="ar-SA"/>
    </w:rPr>
  </w:style>
  <w:style w:type="character" w:customStyle="1" w:styleId="233">
    <w:name w:val="目录 2 Char"/>
    <w:link w:val="27"/>
    <w:qFormat/>
    <w:uiPriority w:val="39"/>
    <w:rPr>
      <w:rFonts w:ascii="宋体" w:hAnsi="Calibri" w:eastAsia="宋体" w:cs="Times New Roman"/>
      <w:szCs w:val="21"/>
    </w:rPr>
  </w:style>
  <w:style w:type="character" w:customStyle="1" w:styleId="234">
    <w:name w:val="标准文件_二级无标题 Char"/>
    <w:link w:val="166"/>
    <w:qFormat/>
    <w:uiPriority w:val="0"/>
    <w:rPr>
      <w:rFonts w:ascii="宋体" w:eastAsia="宋体"/>
    </w:rPr>
  </w:style>
  <w:style w:type="character" w:customStyle="1" w:styleId="235">
    <w:name w:val="标准_四级无标题 Char"/>
    <w:link w:val="167"/>
    <w:qFormat/>
    <w:uiPriority w:val="0"/>
    <w:rPr>
      <w:rFonts w:eastAsia="宋体"/>
    </w:rPr>
  </w:style>
  <w:style w:type="paragraph" w:customStyle="1" w:styleId="236">
    <w:name w:val="Table Text"/>
    <w:basedOn w:val="1"/>
    <w:semiHidden/>
    <w:qFormat/>
    <w:uiPriority w:val="0"/>
    <w:pPr>
      <w:adjustRightInd w:val="0"/>
      <w:spacing w:line="400" w:lineRule="exact"/>
    </w:pPr>
    <w:rPr>
      <w:rFonts w:ascii="宋体" w:hAnsi="宋体" w:eastAsia="宋体" w:cs="宋体"/>
      <w:sz w:val="21"/>
      <w:szCs w:val="21"/>
      <w:lang w:val="en-US" w:eastAsia="en-US" w:bidi="ar-SA"/>
    </w:rPr>
  </w:style>
  <w:style w:type="table" w:customStyle="1" w:styleId="237">
    <w:name w:val="Table Normal"/>
    <w:semiHidden/>
    <w:unhideWhenUsed/>
    <w:qFormat/>
    <w:uiPriority w:val="0"/>
    <w:tblPr>
      <w:tblCellMar>
        <w:top w:w="0" w:type="dxa"/>
        <w:left w:w="0" w:type="dxa"/>
        <w:bottom w:w="0" w:type="dxa"/>
        <w:right w:w="0" w:type="dxa"/>
      </w:tblCellMar>
    </w:tblPr>
  </w:style>
  <w:style w:type="character" w:customStyle="1" w:styleId="238">
    <w:name w:val="目录 1 Char"/>
    <w:link w:val="22"/>
    <w:qFormat/>
    <w:uiPriority w:val="39"/>
    <w:rPr>
      <w:rFonts w:ascii="宋体" w:hAnsi="Calibri" w:eastAsia="宋体" w:cs="Times New Roman"/>
      <w:szCs w:val="21"/>
    </w:rPr>
  </w:style>
  <w:style w:type="character" w:customStyle="1" w:styleId="239">
    <w:name w:val="标准文件_三级无标题 Char"/>
    <w:link w:val="165"/>
    <w:qFormat/>
    <w:uiPriority w:val="0"/>
    <w:rPr>
      <w:rFonts w:ascii="宋体" w:eastAsia="宋体"/>
    </w:rPr>
  </w:style>
  <w:style w:type="paragraph" w:customStyle="1" w:styleId="240">
    <w:name w:val="毕设正文"/>
    <w:basedOn w:val="1"/>
    <w:autoRedefine/>
    <w:qFormat/>
    <w:uiPriority w:val="0"/>
    <w:pPr>
      <w:ind w:firstLine="480" w:firstLineChars="200"/>
    </w:pPr>
    <w:rPr>
      <w:lang w:eastAsia="zh-CN"/>
    </w:rPr>
  </w:style>
  <w:style w:type="paragraph" w:customStyle="1" w:styleId="241">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5320</Words>
  <Characters>5780</Characters>
  <Lines>0</Lines>
  <Paragraphs>0</Paragraphs>
  <TotalTime>1</TotalTime>
  <ScaleCrop>false</ScaleCrop>
  <LinksUpToDate>false</LinksUpToDate>
  <CharactersWithSpaces>5933</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2024-08-17T04:23:00Z</dcterms:created>
  <dc:creator>......</dc:creator>
  <cp:lastModifiedBy>WPS_1668556866</cp:lastModifiedBy>
  <dcterms:modified xsi:type="dcterms:W3CDTF">2024-08-29T11:47:22Z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3DF590BEBD0A4E62BB6909F3E2D53717_13</vt:lpwstr>
  </property>
</Properties>
</file>