
<file path=[Content_Types].xml><?xml version="1.0" encoding="utf-8"?>
<Types xmlns="http://schemas.openxmlformats.org/package/2006/content-types">
  <Default Extension="xml" ContentType="application/xml"/>
  <Default Extension="emf" ContentType="image/x-emf"/>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28"/>
          <w:szCs w:val="28"/>
        </w:rPr>
      </w:pPr>
      <w:r>
        <w:rPr>
          <w:rFonts w:hint="eastAsia"/>
          <w:sz w:val="28"/>
          <w:szCs w:val="28"/>
        </w:rPr>
        <w:t>编制说明</w:t>
      </w:r>
    </w:p>
    <w:p>
      <w:pPr>
        <w:rPr>
          <w:sz w:val="28"/>
          <w:szCs w:val="28"/>
        </w:rPr>
      </w:pPr>
      <w:r>
        <w:rPr>
          <w:rFonts w:hint="eastAsia"/>
          <w:sz w:val="28"/>
          <w:szCs w:val="28"/>
        </w:rPr>
        <w:t>编制说明的内容包括：</w:t>
      </w:r>
    </w:p>
    <w:p>
      <w:pPr>
        <w:numPr>
          <w:ilvl w:val="0"/>
          <w:numId w:val="1"/>
        </w:numPr>
        <w:rPr>
          <w:rFonts w:hint="eastAsia"/>
          <w:sz w:val="28"/>
          <w:szCs w:val="28"/>
        </w:rPr>
      </w:pPr>
      <w:r>
        <w:rPr>
          <w:rFonts w:hint="eastAsia"/>
          <w:sz w:val="28"/>
          <w:szCs w:val="28"/>
        </w:rPr>
        <w:t>工作简况，包括任务来源、协作单位、主要工作过程、中国煤炭学会标准主要起草人及其所做的工作等</w:t>
      </w:r>
      <w:r>
        <w:rPr>
          <w:rFonts w:hint="eastAsia"/>
          <w:sz w:val="28"/>
          <w:szCs w:val="28"/>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auto"/>
        <w:rPr>
          <w:rFonts w:hint="default" w:eastAsiaTheme="minorEastAsia"/>
          <w:sz w:val="24"/>
          <w:szCs w:val="24"/>
          <w:lang w:val="en-US" w:eastAsia="zh-CN"/>
        </w:rPr>
      </w:pPr>
      <w:r>
        <w:rPr>
          <w:rFonts w:hint="eastAsia"/>
          <w:b/>
          <w:bCs/>
          <w:sz w:val="24"/>
          <w:szCs w:val="24"/>
          <w:lang w:val="en-US" w:eastAsia="zh-CN"/>
        </w:rPr>
        <w:t>任务来源</w:t>
      </w:r>
    </w:p>
    <w:p>
      <w:pPr>
        <w:bidi w:val="0"/>
        <w:ind w:firstLine="480" w:firstLineChars="200"/>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氮氧化物是主要的大气污染物之一，作为PM</w:t>
      </w:r>
      <w:r>
        <w:rPr>
          <w:rFonts w:hint="eastAsia" w:ascii="Times New Roman" w:hAnsi="Times New Roman" w:eastAsiaTheme="minorEastAsia"/>
          <w:sz w:val="24"/>
          <w:szCs w:val="24"/>
          <w:vertAlign w:val="subscript"/>
          <w:lang w:val="en-US" w:eastAsia="zh-CN"/>
        </w:rPr>
        <w:t>2.5</w:t>
      </w:r>
      <w:r>
        <w:rPr>
          <w:rFonts w:hint="eastAsia" w:ascii="Times New Roman" w:hAnsi="Times New Roman" w:eastAsiaTheme="minorEastAsia"/>
          <w:sz w:val="24"/>
          <w:szCs w:val="24"/>
          <w:lang w:val="en-US" w:eastAsia="zh-CN"/>
        </w:rPr>
        <w:t>的重要前驱物，严重影响环境和人体健康。我国工业锅炉领域的氮氧化物排放标准</w:t>
      </w:r>
      <w:r>
        <w:rPr>
          <w:rFonts w:hint="eastAsia" w:eastAsiaTheme="minorEastAsia"/>
          <w:sz w:val="24"/>
          <w:szCs w:val="24"/>
          <w:lang w:val="en-US" w:eastAsia="zh-CN"/>
        </w:rPr>
        <w:t>仍然较高</w:t>
      </w:r>
      <w:r>
        <w:rPr>
          <w:rFonts w:hint="eastAsia" w:ascii="Times New Roman" w:hAnsi="Times New Roman" w:eastAsiaTheme="minorEastAsia"/>
          <w:sz w:val="24"/>
          <w:szCs w:val="24"/>
          <w:lang w:val="en-US" w:eastAsia="zh-CN"/>
        </w:rPr>
        <w:t>，氮氧化物减排工作还存在较大空间。因此，降低工业锅炉领域的氮氧化物排放是持续降低我国大气污染物排放总量的重要方向。选择性非催化还原</w:t>
      </w:r>
      <w:r>
        <w:rPr>
          <w:rFonts w:hint="eastAsia" w:eastAsiaTheme="minorEastAsia"/>
          <w:sz w:val="24"/>
          <w:szCs w:val="24"/>
          <w:lang w:val="en-US" w:eastAsia="zh-CN"/>
        </w:rPr>
        <w:t>法（</w:t>
      </w:r>
      <w:r>
        <w:rPr>
          <w:rFonts w:hint="eastAsia" w:ascii="Times New Roman" w:hAnsi="Times New Roman" w:eastAsiaTheme="minorEastAsia"/>
          <w:sz w:val="24"/>
          <w:szCs w:val="24"/>
          <w:lang w:val="en-US" w:eastAsia="zh-CN"/>
        </w:rPr>
        <w:t>SNCR</w:t>
      </w:r>
      <w:r>
        <w:rPr>
          <w:rFonts w:hint="eastAsia" w:eastAsiaTheme="minorEastAsia"/>
          <w:sz w:val="24"/>
          <w:szCs w:val="24"/>
          <w:lang w:val="en-US" w:eastAsia="zh-CN"/>
        </w:rPr>
        <w:t>）具有系统简单、投资低等优点，</w:t>
      </w:r>
      <w:r>
        <w:rPr>
          <w:rFonts w:hint="eastAsia" w:ascii="Times New Roman" w:hAnsi="Times New Roman" w:eastAsiaTheme="minorEastAsia"/>
          <w:sz w:val="24"/>
          <w:szCs w:val="24"/>
          <w:lang w:val="en-US" w:eastAsia="zh-CN"/>
        </w:rPr>
        <w:t>是燃煤、燃气、燃油供热锅炉和其他工业锅炉、炉窑的重要脱硝技术之一，提高SNCR的性能能够有效节能减排。</w:t>
      </w:r>
      <w:r>
        <w:rPr>
          <w:rFonts w:hint="eastAsia" w:eastAsiaTheme="minorEastAsia"/>
          <w:sz w:val="24"/>
          <w:szCs w:val="24"/>
          <w:lang w:val="en-US" w:eastAsia="zh-CN"/>
        </w:rPr>
        <w:t>然而现有针对工业锅炉的SNCR运行和检修规程较少，导致工业锅炉领域SNCR应用水平低下，出现出口氮氧化物排放浓度高、氨逃逸严重等一系列问题。因此，制定工业锅炉的SNCR运行和检修规程有助于提升工业锅炉领域SNCR的整体应用水平，实现节能减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eastAsiaTheme="minorEastAsia"/>
          <w:sz w:val="24"/>
          <w:szCs w:val="24"/>
          <w:lang w:val="en-US" w:eastAsia="zh-CN"/>
        </w:rPr>
      </w:pPr>
      <w:r>
        <w:rPr>
          <w:rFonts w:hint="eastAsia" w:ascii="Times New Roman" w:hAnsi="Times New Roman" w:eastAsiaTheme="minorEastAsia"/>
          <w:sz w:val="24"/>
          <w:szCs w:val="24"/>
          <w:lang w:val="en-US" w:eastAsia="zh-CN"/>
        </w:rPr>
        <w:t>2021年12月16日，由北京天地融创科技股份有限公司申请团体标准的立项，根据中国煤炭学会下达的《关于中国煤炭学会2021年第二批团体标准立项的通知》年度团体标准制修订项目计划，批准《选择性非催化还原法运行与检修规程》标准的制定。</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eastAsia"/>
          <w:b/>
          <w:bCs/>
          <w:sz w:val="24"/>
          <w:szCs w:val="24"/>
          <w:lang w:val="en-US" w:eastAsia="zh-CN"/>
        </w:rPr>
        <w:t>协作单位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sz w:val="24"/>
          <w:szCs w:val="24"/>
          <w:lang w:val="en-US" w:eastAsia="zh-CN"/>
        </w:rPr>
      </w:pPr>
      <w:r>
        <w:rPr>
          <w:rFonts w:hint="eastAsia"/>
          <w:sz w:val="24"/>
          <w:szCs w:val="24"/>
          <w:lang w:val="en-US" w:eastAsia="zh-CN"/>
        </w:rPr>
        <w:t>起草单位：北京天地融创科技股份有限公司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eastAsia"/>
          <w:sz w:val="24"/>
          <w:szCs w:val="24"/>
          <w:lang w:val="en-US" w:eastAsia="zh-CN"/>
        </w:rPr>
        <w:t>参编单位：</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eastAsia"/>
          <w:b/>
          <w:bCs/>
          <w:sz w:val="24"/>
          <w:szCs w:val="24"/>
          <w:lang w:val="en-US" w:eastAsia="zh-CN"/>
        </w:rPr>
        <w:t>主要工作过程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eastAsia"/>
          <w:sz w:val="24"/>
          <w:szCs w:val="24"/>
          <w:lang w:val="en-US" w:eastAsia="zh-CN"/>
        </w:rPr>
        <w:t>中国煤炭学会煤粉锅炉专业委员会于2021年5月14日召开了煤粉工业锅炉标准体系建设研讨会，对制定《选择性非催化还原法运行与检修规程》团体标准的工作进行初步摸底，中国煤炭学会介绍了《中国煤炭学会标准管理办法》，牵头单位北京天地融创科技股份有限公司对《选择性非催化还原法运行与检修规程》团体立项建议进行了介绍。中国煤炭学会于2021年12月15日召开团体标准立项评审会，7位行业内专家现场对团体标准《选择性非催化还原法运行与检修规程》进行了评审，提出意见和建议，并同意该标准立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eastAsia"/>
          <w:sz w:val="24"/>
          <w:szCs w:val="24"/>
          <w:lang w:val="en-US" w:eastAsia="zh-CN"/>
        </w:rPr>
        <w:t>标准立项后，根据任务要求，北京天地融创科技股份有限公司成立了标准编制起草小组，组织标准编制和协调工作。标准起草工作经过半年的广泛调研、收集和查阅有关资料，结合北京天地融创科技股份有限公司长期锅炉运营期间对SNCR的运行和检修工作经验总结，确定了本标准的总体框架和主要内容，并且在10余台锅炉上进行了2年的试验和分析，编写完成了团体标准《选择性非催化还原法运行与检修规程》的草案。2024年6月，起草工作组在公司内部进行了草案的意见征求和研讨，经过反复修改和完善，形成了团体标准的征求意见稿。</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2" w:firstLineChars="200"/>
        <w:textAlignment w:val="auto"/>
        <w:rPr>
          <w:rFonts w:hint="default"/>
          <w:b/>
          <w:bCs/>
          <w:sz w:val="24"/>
          <w:szCs w:val="24"/>
          <w:lang w:val="en-US" w:eastAsia="zh-CN"/>
        </w:rPr>
      </w:pPr>
      <w:r>
        <w:rPr>
          <w:rFonts w:hint="eastAsia"/>
          <w:b/>
          <w:bCs/>
          <w:sz w:val="24"/>
          <w:szCs w:val="24"/>
          <w:lang w:val="en-US" w:eastAsia="zh-CN"/>
        </w:rPr>
        <w:t>中国煤炭学会标准主要起草人及其所作的工作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本标准的主要起草人及其工作内容如下表所示：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sz w:val="24"/>
          <w:szCs w:val="24"/>
          <w:lang w:val="en-US" w:eastAsia="zh-CN"/>
        </w:rPr>
      </w:pPr>
      <w:r>
        <w:rPr>
          <w:rFonts w:hint="eastAsia"/>
          <w:sz w:val="24"/>
          <w:szCs w:val="24"/>
          <w:lang w:val="en-US" w:eastAsia="zh-CN"/>
        </w:rPr>
        <w:t>表1 标准主要起草人及其工作内容</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4525"/>
        <w:gridCol w:w="3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sz w:val="24"/>
                <w:szCs w:val="24"/>
                <w:vertAlign w:val="baseline"/>
                <w:lang w:val="en-US" w:eastAsia="zh-CN"/>
              </w:rPr>
            </w:pPr>
            <w:r>
              <w:rPr>
                <w:rFonts w:hint="eastAsia"/>
                <w:sz w:val="24"/>
                <w:szCs w:val="24"/>
                <w:vertAlign w:val="baseline"/>
                <w:lang w:val="en-US" w:eastAsia="zh-CN"/>
              </w:rPr>
              <w:t>序号</w:t>
            </w:r>
          </w:p>
        </w:tc>
        <w:tc>
          <w:tcPr>
            <w:tcW w:w="45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sz w:val="24"/>
                <w:szCs w:val="24"/>
                <w:vertAlign w:val="baseline"/>
                <w:lang w:val="en-US" w:eastAsia="zh-CN"/>
              </w:rPr>
            </w:pPr>
            <w:r>
              <w:rPr>
                <w:rFonts w:hint="eastAsia"/>
                <w:sz w:val="24"/>
                <w:szCs w:val="24"/>
                <w:vertAlign w:val="baseline"/>
                <w:lang w:val="en-US" w:eastAsia="zh-CN"/>
              </w:rPr>
              <w:t>起草人</w:t>
            </w:r>
          </w:p>
        </w:tc>
        <w:tc>
          <w:tcPr>
            <w:tcW w:w="319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sz w:val="24"/>
                <w:szCs w:val="24"/>
                <w:vertAlign w:val="baseline"/>
                <w:lang w:val="en-US" w:eastAsia="zh-CN"/>
              </w:rPr>
            </w:pPr>
            <w:r>
              <w:rPr>
                <w:rFonts w:hint="eastAsia"/>
                <w:sz w:val="24"/>
                <w:szCs w:val="24"/>
                <w:vertAlign w:val="baseline"/>
                <w:lang w:val="en-US" w:eastAsia="zh-CN"/>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sz w:val="24"/>
                <w:szCs w:val="24"/>
                <w:vertAlign w:val="baseline"/>
                <w:lang w:val="en-US" w:eastAsia="zh-CN"/>
              </w:rPr>
            </w:pPr>
            <w:r>
              <w:rPr>
                <w:rFonts w:hint="eastAsia"/>
                <w:sz w:val="24"/>
                <w:szCs w:val="24"/>
                <w:vertAlign w:val="baseline"/>
                <w:lang w:val="en-US" w:eastAsia="zh-CN"/>
              </w:rPr>
              <w:t>1</w:t>
            </w:r>
          </w:p>
        </w:tc>
        <w:tc>
          <w:tcPr>
            <w:tcW w:w="45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0" w:firstLineChars="0"/>
              <w:jc w:val="left"/>
              <w:textAlignment w:val="auto"/>
              <w:rPr>
                <w:rFonts w:hint="default" w:ascii="Times New Roman" w:hAnsi="Times New Roman" w:eastAsia="宋体" w:cstheme="minorBidi"/>
                <w:kern w:val="2"/>
                <w:sz w:val="24"/>
                <w:szCs w:val="24"/>
                <w:lang w:val="en-US" w:eastAsia="zh-CN" w:bidi="ar-SA"/>
              </w:rPr>
            </w:pPr>
            <w:r>
              <w:rPr>
                <w:rFonts w:hint="eastAsia" w:ascii="Times New Roman" w:hAnsi="Times New Roman" w:eastAsia="宋体" w:cstheme="minorBidi"/>
                <w:kern w:val="2"/>
                <w:sz w:val="24"/>
                <w:szCs w:val="24"/>
                <w:lang w:val="en-US" w:eastAsia="zh-CN" w:bidi="ar-SA"/>
              </w:rPr>
              <w:t>段璐</w:t>
            </w:r>
          </w:p>
        </w:tc>
        <w:tc>
          <w:tcPr>
            <w:tcW w:w="319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负责标准工作的规划和起草工作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sz w:val="24"/>
                <w:szCs w:val="24"/>
                <w:vertAlign w:val="baseline"/>
                <w:lang w:val="en-US" w:eastAsia="zh-CN"/>
              </w:rPr>
            </w:pPr>
            <w:r>
              <w:rPr>
                <w:rFonts w:hint="eastAsia"/>
                <w:sz w:val="24"/>
                <w:szCs w:val="24"/>
                <w:vertAlign w:val="baseline"/>
                <w:lang w:val="en-US" w:eastAsia="zh-CN"/>
              </w:rPr>
              <w:t>2</w:t>
            </w:r>
          </w:p>
        </w:tc>
        <w:tc>
          <w:tcPr>
            <w:tcW w:w="4525" w:type="dxa"/>
          </w:tcPr>
          <w:p>
            <w:pPr>
              <w:pStyle w:val="2"/>
              <w:keepNext w:val="0"/>
              <w:keepLines w:val="0"/>
              <w:pageBreakBefore w:val="0"/>
              <w:widowControl w:val="0"/>
              <w:kinsoku w:val="0"/>
              <w:wordWrap/>
              <w:overflowPunct/>
              <w:topLinePunct w:val="0"/>
              <w:autoSpaceDE w:val="0"/>
              <w:autoSpaceDN/>
              <w:bidi w:val="0"/>
              <w:adjustRightInd/>
              <w:snapToGrid/>
              <w:ind w:firstLine="0" w:firstLineChars="0"/>
              <w:jc w:val="left"/>
              <w:textAlignment w:val="auto"/>
              <w:rPr>
                <w:rFonts w:hint="default" w:ascii="Times New Roman" w:hAnsi="Times New Roman" w:eastAsia="宋体" w:cstheme="minorBidi"/>
                <w:kern w:val="2"/>
                <w:sz w:val="24"/>
                <w:szCs w:val="24"/>
                <w:lang w:val="en-US" w:eastAsia="zh-CN" w:bidi="ar-SA"/>
              </w:rPr>
            </w:pPr>
            <w:r>
              <w:rPr>
                <w:rFonts w:hint="eastAsia" w:ascii="Times New Roman" w:hAnsi="Times New Roman" w:eastAsia="宋体" w:cstheme="minorBidi"/>
                <w:kern w:val="2"/>
                <w:sz w:val="24"/>
                <w:szCs w:val="24"/>
                <w:lang w:val="en-US" w:eastAsia="zh-CN" w:bidi="ar-SA"/>
              </w:rPr>
              <w:t>牛芳、魏琰荣、龚艳艳、李美军、刘振宇、崔名双、贾楠</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宋体" w:cstheme="minorBidi"/>
                <w:kern w:val="2"/>
                <w:sz w:val="24"/>
                <w:szCs w:val="24"/>
                <w:lang w:val="en-US" w:eastAsia="zh-CN" w:bidi="ar-SA"/>
              </w:rPr>
            </w:pPr>
          </w:p>
        </w:tc>
        <w:tc>
          <w:tcPr>
            <w:tcW w:w="319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国内外技术资料的调研、收集和整理工作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sz w:val="24"/>
                <w:szCs w:val="24"/>
                <w:vertAlign w:val="baseline"/>
                <w:lang w:val="en-US" w:eastAsia="zh-CN"/>
              </w:rPr>
            </w:pPr>
            <w:r>
              <w:rPr>
                <w:rFonts w:hint="eastAsia"/>
                <w:sz w:val="24"/>
                <w:szCs w:val="24"/>
                <w:vertAlign w:val="baseline"/>
                <w:lang w:val="en-US" w:eastAsia="zh-CN"/>
              </w:rPr>
              <w:t>3</w:t>
            </w:r>
          </w:p>
        </w:tc>
        <w:tc>
          <w:tcPr>
            <w:tcW w:w="45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ascii="Times New Roman" w:hAnsi="Times New Roman" w:eastAsia="宋体" w:cstheme="minorBidi"/>
                <w:kern w:val="2"/>
                <w:sz w:val="24"/>
                <w:szCs w:val="24"/>
                <w:lang w:val="en-US" w:eastAsia="zh-CN" w:bidi="ar-SA"/>
              </w:rPr>
              <w:t>孟长</w:t>
            </w:r>
            <w:r>
              <w:rPr>
                <w:rFonts w:hint="eastAsia" w:cstheme="minorBidi"/>
                <w:kern w:val="2"/>
                <w:sz w:val="24"/>
                <w:szCs w:val="24"/>
                <w:lang w:val="en-US" w:eastAsia="zh-CN" w:bidi="ar-SA"/>
              </w:rPr>
              <w:t>芳</w:t>
            </w:r>
            <w:r>
              <w:rPr>
                <w:rFonts w:hint="eastAsia" w:ascii="Times New Roman" w:hAnsi="Times New Roman" w:eastAsia="宋体" w:cstheme="minorBidi"/>
                <w:kern w:val="2"/>
                <w:sz w:val="24"/>
                <w:szCs w:val="24"/>
                <w:lang w:val="en-US" w:eastAsia="zh-CN" w:bidi="ar-SA"/>
              </w:rPr>
              <w:t>、夏少波、王学文、王建朋、张朝、于士雷</w:t>
            </w:r>
          </w:p>
        </w:tc>
        <w:tc>
          <w:tcPr>
            <w:tcW w:w="319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szCs w:val="24"/>
                <w:vertAlign w:val="baseline"/>
                <w:lang w:val="en-US" w:eastAsia="zh-CN"/>
              </w:rPr>
            </w:pPr>
            <w:r>
              <w:rPr>
                <w:rFonts w:hint="eastAsia"/>
                <w:sz w:val="24"/>
                <w:szCs w:val="24"/>
                <w:vertAlign w:val="baseline"/>
                <w:lang w:val="en-US" w:eastAsia="zh-CN"/>
              </w:rPr>
              <w:t>标准技术内容的试验工作</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sz w:val="24"/>
          <w:szCs w:val="24"/>
          <w:lang w:val="en-US" w:eastAsia="zh-CN"/>
        </w:rPr>
      </w:pPr>
    </w:p>
    <w:p>
      <w:pPr>
        <w:numPr>
          <w:ilvl w:val="0"/>
          <w:numId w:val="1"/>
        </w:numPr>
        <w:ind w:left="0" w:leftChars="0" w:firstLine="0" w:firstLineChars="0"/>
        <w:rPr>
          <w:rFonts w:hint="eastAsia"/>
          <w:sz w:val="28"/>
          <w:szCs w:val="28"/>
        </w:rPr>
      </w:pPr>
      <w:r>
        <w:rPr>
          <w:rFonts w:hint="eastAsia"/>
          <w:sz w:val="28"/>
          <w:szCs w:val="28"/>
        </w:rPr>
        <w:t>确定中国煤炭学会标准主要技术内容（如技术指标、参数、公式、性能要求、实验方法、检验规则等）的论据（包括试验、统计数据），修订中国煤炭学会标准时，应增加新、旧中国煤炭学会标准水平的对比；</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sz w:val="24"/>
          <w:szCs w:val="24"/>
          <w:lang w:val="en-US" w:eastAsia="zh-CN"/>
        </w:rPr>
      </w:pPr>
      <w:r>
        <w:rPr>
          <w:rFonts w:hint="eastAsia"/>
          <w:sz w:val="24"/>
          <w:szCs w:val="24"/>
          <w:lang w:val="en-US" w:eastAsia="zh-CN"/>
        </w:rPr>
        <w:t>本标准严格按GB/T 1.1《标准化工作导则第1部分：标准的结构和编写规则》和GB/T 1.2《标准化工作导则第2部分：标准中规范性技术要素内容的确定方法》要求进行，同时在标准的起草过程中，参考了以下标准：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GB/T  21509  燃煤烟气脱硝技术装备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HJ    563    火电厂烟气脱硝工程技术规范  选择性非催化还原法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HJ    562    火电厂烟气脱硝工程技术规范  选择性催化还原法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DL/T  296    火电厂烟气脱硝技术导则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JB/T  12539   选择性非催化还原法烟气脱硝系统运行技术条件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JB/T  14100   选择性非催化还原法烟气脱硝装置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JB/T  12911   选择性非催化还原法烟气脱硝装置  喷射系统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GB   13271   锅炉大气污染物排放标准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GB/T  16157   固定污染源排期中颗粒物测定与气态污染物采样方法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HJ    1240    固定污染源废弃 气态污染物（SO</w:t>
      </w:r>
      <w:r>
        <w:rPr>
          <w:rFonts w:hint="default"/>
          <w:sz w:val="24"/>
          <w:szCs w:val="24"/>
          <w:vertAlign w:val="subscript"/>
          <w:lang w:val="en-US" w:eastAsia="zh-CN"/>
        </w:rPr>
        <w:t>2</w:t>
      </w:r>
      <w:r>
        <w:rPr>
          <w:rFonts w:hint="default"/>
          <w:sz w:val="24"/>
          <w:szCs w:val="24"/>
          <w:lang w:val="en-US" w:eastAsia="zh-CN"/>
        </w:rPr>
        <w:t>、NO、NO</w:t>
      </w:r>
      <w:r>
        <w:rPr>
          <w:rFonts w:hint="default"/>
          <w:sz w:val="24"/>
          <w:szCs w:val="24"/>
          <w:vertAlign w:val="subscript"/>
          <w:lang w:val="en-US" w:eastAsia="zh-CN"/>
        </w:rPr>
        <w:t>2</w:t>
      </w:r>
      <w:r>
        <w:rPr>
          <w:rFonts w:hint="default"/>
          <w:sz w:val="24"/>
          <w:szCs w:val="24"/>
          <w:lang w:val="en-US" w:eastAsia="zh-CN"/>
        </w:rPr>
        <w:t>、CO、CO</w:t>
      </w:r>
      <w:r>
        <w:rPr>
          <w:rFonts w:hint="default"/>
          <w:sz w:val="24"/>
          <w:szCs w:val="24"/>
          <w:vertAlign w:val="subscript"/>
          <w:lang w:val="en-US" w:eastAsia="zh-CN"/>
        </w:rPr>
        <w:t>2</w:t>
      </w:r>
      <w:r>
        <w:rPr>
          <w:rFonts w:hint="default"/>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160" w:firstLineChars="900"/>
        <w:textAlignment w:val="auto"/>
        <w:rPr>
          <w:rFonts w:hint="default"/>
          <w:sz w:val="24"/>
          <w:szCs w:val="24"/>
          <w:lang w:val="en-US" w:eastAsia="zh-CN"/>
        </w:rPr>
      </w:pPr>
      <w:r>
        <w:rPr>
          <w:rFonts w:hint="default"/>
          <w:sz w:val="24"/>
          <w:szCs w:val="24"/>
          <w:lang w:val="en-US" w:eastAsia="zh-CN"/>
        </w:rPr>
        <w:t>的测定 便携式傅里叶变换红外光谱法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default"/>
          <w:sz w:val="24"/>
          <w:szCs w:val="24"/>
          <w:lang w:val="en-US" w:eastAsia="zh-CN"/>
        </w:rPr>
        <w:t>DL/T  838     燃煤火力发电企业设备检修导则</w:t>
      </w:r>
    </w:p>
    <w:p>
      <w:pPr>
        <w:numPr>
          <w:ilvl w:val="0"/>
          <w:numId w:val="0"/>
        </w:numPr>
        <w:ind w:leftChars="0"/>
        <w:rPr>
          <w:rFonts w:hint="eastAsia"/>
          <w:sz w:val="28"/>
          <w:szCs w:val="28"/>
        </w:rPr>
      </w:pPr>
    </w:p>
    <w:p>
      <w:pPr>
        <w:numPr>
          <w:ilvl w:val="0"/>
          <w:numId w:val="1"/>
        </w:numPr>
        <w:ind w:left="0" w:leftChars="0" w:firstLine="0" w:firstLineChars="0"/>
        <w:rPr>
          <w:rFonts w:hint="eastAsia"/>
          <w:sz w:val="28"/>
          <w:szCs w:val="28"/>
        </w:rPr>
      </w:pPr>
      <w:r>
        <w:rPr>
          <w:rFonts w:hint="eastAsia"/>
          <w:sz w:val="28"/>
          <w:szCs w:val="28"/>
        </w:rPr>
        <w:t>主要试验（验证）的分析、综述报告，技术经济论证，预期的经济效果；</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default"/>
          <w:b/>
          <w:bCs/>
          <w:sz w:val="24"/>
          <w:szCs w:val="24"/>
          <w:lang w:val="en-US" w:eastAsia="zh-CN"/>
        </w:rPr>
      </w:pPr>
      <w:r>
        <w:rPr>
          <w:rFonts w:hint="eastAsia"/>
          <w:b/>
          <w:bCs/>
          <w:sz w:val="24"/>
          <w:szCs w:val="24"/>
          <w:lang w:val="en-US" w:eastAsia="zh-CN"/>
        </w:rPr>
        <w:t>主要试验分析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eastAsia"/>
          <w:sz w:val="24"/>
          <w:szCs w:val="24"/>
          <w:lang w:val="en-US" w:eastAsia="zh-CN"/>
        </w:rPr>
      </w:pPr>
      <w:r>
        <w:rPr>
          <w:rFonts w:hint="eastAsia"/>
          <w:sz w:val="24"/>
          <w:szCs w:val="24"/>
          <w:lang w:val="en-US" w:eastAsia="zh-CN"/>
        </w:rPr>
        <w:t>为编制本标准，参考已有研究结果和标准，在工业锅炉上进行了试验，研究了对炉膛温度分布、喷枪、运行参数等对脱硝效率的影响，为标准的起草和制定提供了数据支撑，试验数据和分析结果撰写并发表了3篇文章，分别为：</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段璐，崔豫泓，孟长方，等．气流床煤粉工业锅炉非催化还原脱硝试验［J］．洁净煤技术，2023，29( 6) : 128－134．</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段璐． 煤粉工业锅炉的选择性非催化还原脱硝性能试验改进 ［J］． 煤质技术，2024，39 ( 2) : 80－86．</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段璐</w:t>
      </w:r>
      <w:r>
        <w:rPr>
          <w:rFonts w:hint="default"/>
          <w:sz w:val="24"/>
          <w:szCs w:val="24"/>
          <w:lang w:val="en-US" w:eastAsia="zh-CN"/>
        </w:rPr>
        <w:t>． 喷嘴结构对SNCR脱硝性能影响试验研究</w:t>
      </w:r>
      <w:r>
        <w:rPr>
          <w:rFonts w:hint="eastAsia"/>
          <w:sz w:val="24"/>
          <w:szCs w:val="24"/>
          <w:lang w:val="en-US" w:eastAsia="zh-CN"/>
        </w:rPr>
        <w:t>[J]</w:t>
      </w:r>
      <w:r>
        <w:rPr>
          <w:rFonts w:hint="default"/>
          <w:sz w:val="24"/>
          <w:szCs w:val="24"/>
          <w:lang w:val="en-US" w:eastAsia="zh-CN"/>
        </w:rPr>
        <w:t>．</w:t>
      </w:r>
      <w:r>
        <w:rPr>
          <w:rFonts w:hint="eastAsia"/>
          <w:sz w:val="24"/>
          <w:szCs w:val="24"/>
          <w:lang w:val="en-US" w:eastAsia="zh-CN"/>
        </w:rPr>
        <w:t>工业炉，2024，48：</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针对本标准的主要试验分析和总结如下：</w:t>
      </w:r>
    </w:p>
    <w:p>
      <w:pPr>
        <w:keepNext w:val="0"/>
        <w:keepLines w:val="0"/>
        <w:pageBreakBefore w:val="0"/>
        <w:widowControl w:val="0"/>
        <w:numPr>
          <w:numId w:val="0"/>
        </w:numPr>
        <w:kinsoku/>
        <w:wordWrap/>
        <w:overflowPunct/>
        <w:topLinePunct w:val="0"/>
        <w:autoSpaceDE/>
        <w:autoSpaceDN/>
        <w:bidi w:val="0"/>
        <w:adjustRightInd/>
        <w:snapToGrid/>
        <w:spacing w:line="360" w:lineRule="auto"/>
        <w:textAlignment w:val="auto"/>
        <w:rPr>
          <w:rFonts w:hint="default"/>
          <w:b w:val="0"/>
          <w:bCs w:val="0"/>
          <w:sz w:val="24"/>
          <w:szCs w:val="24"/>
          <w:lang w:val="en-US" w:eastAsia="zh-CN"/>
        </w:rPr>
      </w:pPr>
      <w:r>
        <w:rPr>
          <w:rFonts w:hint="eastAsia"/>
          <w:b w:val="0"/>
          <w:bCs w:val="0"/>
          <w:sz w:val="24"/>
          <w:szCs w:val="24"/>
          <w:lang w:val="en-US" w:eastAsia="zh-CN"/>
        </w:rPr>
        <w:t>（1）工业锅炉SNCR最佳反应温度区间</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通过测量炉膛温度分布并在不同炉膛内设置喷枪，通过测量出口氮氧化物排放浓度，得到脱硝效率，分析发现，烟气内存在CO、O</w:t>
      </w:r>
      <w:r>
        <w:rPr>
          <w:rFonts w:hint="eastAsia"/>
          <w:sz w:val="24"/>
          <w:szCs w:val="24"/>
          <w:vertAlign w:val="subscript"/>
          <w:lang w:val="en-US" w:eastAsia="zh-CN"/>
        </w:rPr>
        <w:t>2</w:t>
      </w:r>
      <w:r>
        <w:rPr>
          <w:rFonts w:hint="eastAsia"/>
          <w:sz w:val="24"/>
          <w:szCs w:val="24"/>
          <w:lang w:val="en-US" w:eastAsia="zh-CN"/>
        </w:rPr>
        <w:t>，使温度区间向低温方向移动，并缩小了温度区间的范围，以</w:t>
      </w:r>
      <w:r>
        <w:rPr>
          <w:rFonts w:hint="eastAsia"/>
          <w:color w:val="auto"/>
          <w:szCs w:val="21"/>
        </w:rPr>
        <w:t>尿素作为还原剂</w:t>
      </w:r>
      <w:r>
        <w:rPr>
          <w:rFonts w:hint="eastAsia"/>
          <w:color w:val="auto"/>
          <w:szCs w:val="21"/>
          <w:lang w:val="en-US" w:eastAsia="zh-CN"/>
        </w:rPr>
        <w:t>时</w:t>
      </w:r>
      <w:r>
        <w:rPr>
          <w:rFonts w:hint="eastAsia"/>
          <w:sz w:val="24"/>
          <w:szCs w:val="24"/>
          <w:lang w:val="en-US" w:eastAsia="zh-CN"/>
        </w:rPr>
        <w:t>锅炉的最佳温度区间为790~850 ℃，温度高于或低于该温度区间，SNCR的脱硝效果均会恶化，且温度降低SNCR脱硝效果恶化更严重。图1为某锅炉炉膛内的温度分布图，图2为不同喷枪在不同位置和插入深度下的脱硝效率。</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center"/>
        <w:textAlignment w:val="auto"/>
        <w:rPr>
          <w:rFonts w:hint="eastAsia"/>
          <w:color w:val="auto"/>
          <w:lang w:val="en-US" w:eastAsia="zh-CN"/>
        </w:rPr>
      </w:pPr>
      <w:r>
        <w:rPr>
          <w:rFonts w:hint="eastAsia"/>
          <w:color w:val="auto"/>
          <w:lang w:val="en-US" w:eastAsia="zh-CN"/>
        </w:rPr>
        <w:drawing>
          <wp:inline distT="0" distB="0" distL="114300" distR="114300">
            <wp:extent cx="2922270" cy="2352675"/>
            <wp:effectExtent l="0" t="0" r="11430" b="9525"/>
            <wp:docPr id="4" name="图片 4" descr="图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2"/>
                    <pic:cNvPicPr>
                      <a:picLocks noChangeAspect="1"/>
                    </pic:cNvPicPr>
                  </pic:nvPicPr>
                  <pic:blipFill>
                    <a:blip r:embed="rId6"/>
                    <a:stretch>
                      <a:fillRect/>
                    </a:stretch>
                  </pic:blipFill>
                  <pic:spPr>
                    <a:xfrm>
                      <a:off x="0" y="0"/>
                      <a:ext cx="2922270" cy="2352675"/>
                    </a:xfrm>
                    <a:prstGeom prst="rect">
                      <a:avLst/>
                    </a:prstGeom>
                  </pic:spPr>
                </pic:pic>
              </a:graphicData>
            </a:graphic>
          </wp:inline>
        </w:drawing>
      </w:r>
    </w:p>
    <w:p>
      <w:pPr>
        <w:jc w:val="center"/>
        <w:rPr>
          <w:rFonts w:hint="default"/>
          <w:color w:val="auto"/>
          <w:sz w:val="21"/>
          <w:szCs w:val="21"/>
          <w:lang w:val="en-US"/>
        </w:rPr>
      </w:pPr>
      <w:r>
        <w:rPr>
          <w:rFonts w:hint="eastAsia"/>
          <w:color w:val="auto"/>
          <w:sz w:val="21"/>
          <w:szCs w:val="21"/>
        </w:rPr>
        <w:t>图</w:t>
      </w:r>
      <w:r>
        <w:rPr>
          <w:rFonts w:hint="eastAsia"/>
          <w:color w:val="auto"/>
          <w:sz w:val="21"/>
          <w:szCs w:val="21"/>
          <w:lang w:val="en-US" w:eastAsia="zh-CN"/>
        </w:rPr>
        <w:t>1 炉膛内温度分布</w:t>
      </w:r>
    </w:p>
    <w:p>
      <w:pPr>
        <w:jc w:val="center"/>
        <w:rPr>
          <w:rFonts w:hint="default"/>
          <w:color w:val="auto"/>
          <w:lang w:val="en-US" w:eastAsia="zh-CN"/>
        </w:rPr>
      </w:pPr>
      <w:r>
        <w:rPr>
          <w:rFonts w:hint="default"/>
          <w:color w:val="auto"/>
          <w:lang w:val="en-US" w:eastAsia="zh-CN"/>
        </w:rPr>
        <w:drawing>
          <wp:inline distT="0" distB="0" distL="114300" distR="114300">
            <wp:extent cx="2622550" cy="2160270"/>
            <wp:effectExtent l="0" t="0" r="6350" b="11430"/>
            <wp:docPr id="6" name="图片 6" descr="图4-喷枪深度"/>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4-喷枪深度"/>
                    <pic:cNvPicPr>
                      <a:picLocks noChangeAspect="1"/>
                    </pic:cNvPicPr>
                  </pic:nvPicPr>
                  <pic:blipFill>
                    <a:blip r:embed="rId7"/>
                    <a:stretch>
                      <a:fillRect/>
                    </a:stretch>
                  </pic:blipFill>
                  <pic:spPr>
                    <a:xfrm>
                      <a:off x="0" y="0"/>
                      <a:ext cx="2622550" cy="2160270"/>
                    </a:xfrm>
                    <a:prstGeom prst="rect">
                      <a:avLst/>
                    </a:prstGeom>
                  </pic:spPr>
                </pic:pic>
              </a:graphicData>
            </a:graphic>
          </wp:inline>
        </w:drawing>
      </w:r>
    </w:p>
    <w:p>
      <w:pPr>
        <w:bidi w:val="0"/>
        <w:jc w:val="center"/>
        <w:rPr>
          <w:rFonts w:hint="eastAsia"/>
          <w:color w:val="auto"/>
          <w:sz w:val="21"/>
          <w:szCs w:val="21"/>
          <w:lang w:val="en-US" w:eastAsia="zh-CN"/>
        </w:rPr>
      </w:pPr>
      <w:r>
        <w:rPr>
          <w:rFonts w:hint="eastAsia"/>
          <w:color w:val="auto"/>
          <w:sz w:val="21"/>
          <w:szCs w:val="21"/>
          <w:lang w:val="en-US" w:eastAsia="zh-CN"/>
        </w:rPr>
        <w:t>图2 喷枪位置和插入深度对脱硝效率的影响</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喷枪的流量及雾化特性对脱硝性能的影响</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default"/>
          <w:sz w:val="24"/>
          <w:szCs w:val="24"/>
          <w:lang w:val="en-US" w:eastAsia="zh-CN"/>
        </w:rPr>
        <w:t>研究了5种喷嘴的流量特性及其对SNCR脱硝性能的影响，建立了喷嘴流量与气、液压力间的关系。结果表明，喷嘴流量随液压升高、气压降低而增大，扇形喷嘴流量小于锥形喷嘴且对气、液压力较为敏感。炉膛中部处于SNCR最佳反应温度区且温度分布较为均匀，脱硝效率较高；扇形120°喷嘴的脱硝效率最佳，因此，实际应用选择角度较大的扇形喷嘴能够取得较好的脱硝性能。</w:t>
      </w:r>
      <w:r>
        <w:rPr>
          <w:rFonts w:hint="eastAsia"/>
          <w:sz w:val="24"/>
          <w:szCs w:val="24"/>
          <w:lang w:val="en-US" w:eastAsia="zh-CN"/>
        </w:rPr>
        <w:t>该研究为脱硝喷射系统的选型提供了依据。图3为不同喷嘴对流量特性的影响，图4为不同喷嘴下的脱硝效率。</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center"/>
        <w:textAlignment w:val="auto"/>
        <w:rPr>
          <w:rFonts w:hAnsi="宋体"/>
          <w:color w:val="auto"/>
        </w:rPr>
      </w:pPr>
      <w:r>
        <w:rPr>
          <w:rFonts w:hAnsi="宋体"/>
          <w:color w:val="auto"/>
        </w:rPr>
        <w:drawing>
          <wp:inline distT="0" distB="0" distL="114300" distR="114300">
            <wp:extent cx="2879725" cy="2326005"/>
            <wp:effectExtent l="0" t="0" r="15875" b="17145"/>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8"/>
                    <a:srcRect l="7948" t="10582" r="14311" b="7376"/>
                    <a:stretch>
                      <a:fillRect/>
                    </a:stretch>
                  </pic:blipFill>
                  <pic:spPr>
                    <a:xfrm>
                      <a:off x="0" y="0"/>
                      <a:ext cx="2879725" cy="2326005"/>
                    </a:xfrm>
                    <a:prstGeom prst="rect">
                      <a:avLst/>
                    </a:prstGeom>
                    <a:noFill/>
                    <a:ln>
                      <a:noFill/>
                    </a:ln>
                  </pic:spPr>
                </pic:pic>
              </a:graphicData>
            </a:graphic>
          </wp:inline>
        </w:drawing>
      </w:r>
    </w:p>
    <w:p>
      <w:pPr>
        <w:keepNext w:val="0"/>
        <w:keepLines w:val="0"/>
        <w:pageBreakBefore w:val="0"/>
        <w:widowControl w:val="0"/>
        <w:numPr>
          <w:numId w:val="0"/>
        </w:numPr>
        <w:kinsoku/>
        <w:wordWrap/>
        <w:overflowPunct/>
        <w:topLinePunct w:val="0"/>
        <w:autoSpaceDE/>
        <w:autoSpaceDN/>
        <w:bidi w:val="0"/>
        <w:adjustRightInd/>
        <w:snapToGrid/>
        <w:spacing w:line="360" w:lineRule="auto"/>
        <w:jc w:val="center"/>
        <w:textAlignment w:val="auto"/>
        <w:rPr>
          <w:rFonts w:hint="eastAsia" w:hAnsi="宋体"/>
          <w:color w:val="auto"/>
          <w:lang w:val="en-US" w:eastAsia="zh-CN"/>
        </w:rPr>
      </w:pPr>
      <w:r>
        <w:rPr>
          <w:rFonts w:hint="eastAsia" w:hAnsi="宋体"/>
          <w:color w:val="auto"/>
          <w:lang w:val="en-US" w:eastAsia="zh-CN"/>
        </w:rPr>
        <w:t>图3 不同喷嘴的流量特性</w:t>
      </w:r>
    </w:p>
    <w:p>
      <w:pPr>
        <w:keepNext w:val="0"/>
        <w:keepLines w:val="0"/>
        <w:pageBreakBefore w:val="0"/>
        <w:widowControl w:val="0"/>
        <w:numPr>
          <w:numId w:val="0"/>
        </w:numPr>
        <w:kinsoku/>
        <w:wordWrap/>
        <w:overflowPunct/>
        <w:topLinePunct w:val="0"/>
        <w:autoSpaceDE/>
        <w:autoSpaceDN/>
        <w:bidi w:val="0"/>
        <w:adjustRightInd/>
        <w:snapToGrid/>
        <w:spacing w:line="360" w:lineRule="auto"/>
        <w:jc w:val="center"/>
        <w:textAlignment w:val="auto"/>
        <w:rPr>
          <w:rFonts w:hint="eastAsia" w:eastAsia="宋体"/>
          <w:color w:val="auto"/>
          <w:lang w:eastAsia="zh-CN"/>
        </w:rPr>
      </w:pPr>
      <w:r>
        <w:rPr>
          <w:rFonts w:hint="eastAsia" w:eastAsia="宋体"/>
          <w:color w:val="auto"/>
          <w:lang w:eastAsia="zh-CN"/>
        </w:rPr>
        <w:drawing>
          <wp:inline distT="0" distB="0" distL="114300" distR="114300">
            <wp:extent cx="2879725" cy="2528570"/>
            <wp:effectExtent l="0" t="0" r="15875" b="5080"/>
            <wp:docPr id="28" name="图片 28" descr="液压0.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液压0.35"/>
                    <pic:cNvPicPr>
                      <a:picLocks noChangeAspect="1"/>
                    </pic:cNvPicPr>
                  </pic:nvPicPr>
                  <pic:blipFill>
                    <a:blip r:embed="rId9"/>
                    <a:stretch>
                      <a:fillRect/>
                    </a:stretch>
                  </pic:blipFill>
                  <pic:spPr>
                    <a:xfrm>
                      <a:off x="0" y="0"/>
                      <a:ext cx="2879725" cy="2528570"/>
                    </a:xfrm>
                    <a:prstGeom prst="rect">
                      <a:avLst/>
                    </a:prstGeom>
                  </pic:spPr>
                </pic:pic>
              </a:graphicData>
            </a:graphic>
          </wp:inline>
        </w:drawing>
      </w:r>
    </w:p>
    <w:p>
      <w:pPr>
        <w:keepNext w:val="0"/>
        <w:keepLines w:val="0"/>
        <w:pageBreakBefore w:val="0"/>
        <w:widowControl w:val="0"/>
        <w:numPr>
          <w:numId w:val="0"/>
        </w:numPr>
        <w:kinsoku/>
        <w:wordWrap/>
        <w:overflowPunct/>
        <w:topLinePunct w:val="0"/>
        <w:autoSpaceDE/>
        <w:autoSpaceDN/>
        <w:bidi w:val="0"/>
        <w:adjustRightInd/>
        <w:snapToGrid/>
        <w:spacing w:line="360" w:lineRule="auto"/>
        <w:jc w:val="center"/>
        <w:textAlignment w:val="auto"/>
        <w:rPr>
          <w:rFonts w:hint="eastAsia" w:eastAsia="宋体"/>
          <w:color w:val="auto"/>
          <w:lang w:val="en-US" w:eastAsia="zh-CN"/>
        </w:rPr>
      </w:pPr>
      <w:r>
        <w:rPr>
          <w:rFonts w:hint="eastAsia" w:eastAsia="宋体"/>
          <w:color w:val="auto"/>
          <w:lang w:val="en-US" w:eastAsia="zh-CN"/>
        </w:rPr>
        <w:t>图4 不同喷嘴的脱硝效率</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jc w:val="both"/>
        <w:textAlignment w:val="auto"/>
        <w:rPr>
          <w:rFonts w:hint="eastAsia" w:eastAsia="宋体"/>
          <w:color w:val="auto"/>
          <w:lang w:val="en-US" w:eastAsia="zh-CN"/>
        </w:rPr>
      </w:pPr>
      <w:r>
        <w:rPr>
          <w:rFonts w:hint="eastAsia" w:eastAsia="宋体"/>
          <w:color w:val="auto"/>
          <w:lang w:val="en-US" w:eastAsia="zh-CN"/>
        </w:rPr>
        <w:t>不同炉膛类型的脱硝性能</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eastAsia="宋体"/>
          <w:color w:val="auto"/>
          <w:lang w:val="en-US" w:eastAsia="zh-CN"/>
        </w:rPr>
        <w:t>研究了不同类型炉膛内的温度分布和脱硝效率，图5为两种炉膛内不同脱硝喷枪组合方式对脱硝性能的影响。在十余台锅炉上进行了脱硝性能试验，</w:t>
      </w:r>
      <w:r>
        <w:rPr>
          <w:rFonts w:hint="eastAsia"/>
          <w:sz w:val="24"/>
          <w:szCs w:val="24"/>
          <w:lang w:val="en-US" w:eastAsia="zh-CN"/>
        </w:rPr>
        <w:t>总结多个锅炉的测量结果如图6所示，得到了以尿素为还原剂时锅炉的最佳温度区间，为SNCR系统的运行参数设置提供了理论基础。</w:t>
      </w:r>
    </w:p>
    <w:p>
      <w:pPr>
        <w:pStyle w:val="2"/>
        <w:ind w:firstLine="420" w:firstLineChars="200"/>
        <w:rPr>
          <w:rFonts w:hint="default"/>
          <w:lang w:val="en-US" w:eastAsia="zh-CN"/>
        </w:rPr>
      </w:pPr>
    </w:p>
    <w:p>
      <w:pPr>
        <w:pStyle w:val="2"/>
      </w:pPr>
      <w:r>
        <w:drawing>
          <wp:inline distT="0" distB="0" distL="114300" distR="114300">
            <wp:extent cx="2592070" cy="2233295"/>
            <wp:effectExtent l="0" t="0" r="17780" b="1460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0"/>
                    <a:srcRect l="9926" t="6925" r="13679" b="7075"/>
                    <a:stretch>
                      <a:fillRect/>
                    </a:stretch>
                  </pic:blipFill>
                  <pic:spPr>
                    <a:xfrm>
                      <a:off x="0" y="0"/>
                      <a:ext cx="2592070" cy="2233295"/>
                    </a:xfrm>
                    <a:prstGeom prst="rect">
                      <a:avLst/>
                    </a:prstGeom>
                    <a:noFill/>
                    <a:ln>
                      <a:noFill/>
                    </a:ln>
                  </pic:spPr>
                </pic:pic>
              </a:graphicData>
            </a:graphic>
          </wp:inline>
        </w:drawing>
      </w:r>
      <w:r>
        <w:drawing>
          <wp:inline distT="0" distB="0" distL="114300" distR="114300">
            <wp:extent cx="2592070" cy="2266950"/>
            <wp:effectExtent l="0" t="0" r="17780" b="0"/>
            <wp:docPr id="1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pic:cNvPicPr>
                      <a:picLocks noChangeAspect="1"/>
                    </pic:cNvPicPr>
                  </pic:nvPicPr>
                  <pic:blipFill>
                    <a:blip r:embed="rId11"/>
                    <a:srcRect l="10140" t="6280" r="13465" b="6430"/>
                    <a:stretch>
                      <a:fillRect/>
                    </a:stretch>
                  </pic:blipFill>
                  <pic:spPr>
                    <a:xfrm>
                      <a:off x="0" y="0"/>
                      <a:ext cx="2592070" cy="2266950"/>
                    </a:xfrm>
                    <a:prstGeom prst="rect">
                      <a:avLst/>
                    </a:prstGeom>
                    <a:noFill/>
                    <a:ln>
                      <a:noFill/>
                    </a:ln>
                  </pic:spPr>
                </pic:pic>
              </a:graphicData>
            </a:graphic>
          </wp:inline>
        </w:drawing>
      </w:r>
    </w:p>
    <w:p>
      <w:pPr>
        <w:pStyle w:val="2"/>
        <w:jc w:val="center"/>
        <w:rPr>
          <w:rFonts w:hint="default" w:ascii="Times New Roman" w:hAnsi="Times New Roman" w:eastAsia="宋体" w:cstheme="minorBidi"/>
          <w:kern w:val="2"/>
          <w:sz w:val="24"/>
          <w:szCs w:val="24"/>
          <w:lang w:val="en-US" w:eastAsia="zh-CN" w:bidi="ar-SA"/>
        </w:rPr>
      </w:pPr>
      <w:r>
        <w:rPr>
          <w:rFonts w:hint="eastAsia" w:ascii="Times New Roman" w:hAnsi="Times New Roman" w:eastAsia="宋体" w:cstheme="minorBidi"/>
          <w:kern w:val="2"/>
          <w:sz w:val="24"/>
          <w:szCs w:val="24"/>
          <w:lang w:val="en-US" w:eastAsia="zh-CN" w:bidi="ar-SA"/>
        </w:rPr>
        <w:t>（a）D形炉膛                  （b）开放式炉膛</w:t>
      </w:r>
    </w:p>
    <w:p>
      <w:pPr>
        <w:bidi w:val="0"/>
        <w:jc w:val="center"/>
        <w:rPr>
          <w:rFonts w:hint="default"/>
          <w:lang w:val="en-US" w:eastAsia="zh-CN"/>
        </w:rPr>
      </w:pPr>
      <w:r>
        <w:rPr>
          <w:rFonts w:hint="eastAsia"/>
          <w:lang w:val="en-US" w:eastAsia="zh-CN"/>
        </w:rPr>
        <w:t>图5 喷枪位置和支数对脱硝效率的影响</w:t>
      </w:r>
    </w:p>
    <w:p>
      <w:pPr>
        <w:pStyle w:val="2"/>
        <w:jc w:val="center"/>
      </w:pPr>
      <w:r>
        <w:drawing>
          <wp:inline distT="0" distB="0" distL="114300" distR="114300">
            <wp:extent cx="3060065" cy="2537460"/>
            <wp:effectExtent l="0" t="0" r="6985"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2"/>
                    <a:srcRect l="8889" t="8839" r="12066" b="5527"/>
                    <a:stretch>
                      <a:fillRect/>
                    </a:stretch>
                  </pic:blipFill>
                  <pic:spPr>
                    <a:xfrm>
                      <a:off x="0" y="0"/>
                      <a:ext cx="3060065" cy="2537460"/>
                    </a:xfrm>
                    <a:prstGeom prst="rect">
                      <a:avLst/>
                    </a:prstGeom>
                    <a:noFill/>
                    <a:ln>
                      <a:noFill/>
                    </a:ln>
                  </pic:spPr>
                </pic:pic>
              </a:graphicData>
            </a:graphic>
          </wp:inline>
        </w:drawing>
      </w:r>
    </w:p>
    <w:p>
      <w:pPr>
        <w:bidi w:val="0"/>
        <w:jc w:val="center"/>
        <w:rPr>
          <w:rFonts w:hint="default"/>
          <w:color w:val="auto"/>
          <w:sz w:val="21"/>
          <w:szCs w:val="21"/>
          <w:lang w:val="en-US" w:eastAsia="zh-CN"/>
        </w:rPr>
      </w:pPr>
      <w:r>
        <w:rPr>
          <w:rFonts w:hint="eastAsia"/>
          <w:color w:val="auto"/>
          <w:sz w:val="21"/>
          <w:szCs w:val="21"/>
          <w:lang w:val="en-US" w:eastAsia="zh-CN"/>
        </w:rPr>
        <w:t>图6 温度和RNS对脱硝效率的影响</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textAlignment w:val="auto"/>
        <w:rPr>
          <w:rFonts w:hint="default"/>
          <w:b/>
          <w:bCs/>
          <w:sz w:val="24"/>
          <w:szCs w:val="24"/>
          <w:lang w:val="en-US" w:eastAsia="zh-CN"/>
        </w:rPr>
      </w:pPr>
      <w:r>
        <w:rPr>
          <w:rFonts w:hint="eastAsia"/>
          <w:b/>
          <w:bCs/>
          <w:sz w:val="24"/>
          <w:szCs w:val="24"/>
          <w:lang w:val="en-US" w:eastAsia="zh-CN"/>
        </w:rPr>
        <w:t>技术经济性论证和预期的经济效果</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经过大量的试验研究，建立了SNCR系统的运行规程和试验方法，并在此基础上对4个供热站的十余台锅炉的SNCR系统进行了改造和运行优化，表1给出了优化前后的技术经济性分析，从表中可以看出，供热站1和供热站2的2023年尿素消耗总量比2021年分别减少了266吨和17吨，供热站3和供热站4的尿素用量分别增加了3吨和28吨，液氧用量分别减少了90.5吨和340吨，因此，四个供热站总尿素用量降低了23.3%，液氧总用量降低了69.2%。根据尿素采购价格2800元/吨、液氧采购价格500元/吨计算，2023年相比2021年总运行费用节省了89.5万元。若推广该运行和检修规程将大幅降低SNCR的运行成本，实现降本增效和节能减排。</w:t>
      </w:r>
    </w:p>
    <w:p>
      <w:pPr>
        <w:bidi w:val="0"/>
        <w:jc w:val="center"/>
        <w:rPr>
          <w:rFonts w:hint="eastAsia"/>
          <w:lang w:val="en-US" w:eastAsia="zh-CN"/>
        </w:rPr>
      </w:pPr>
      <w:r>
        <w:rPr>
          <w:rFonts w:hint="eastAsia"/>
          <w:lang w:val="en-US" w:eastAsia="zh-CN"/>
        </w:rPr>
        <w:t>表3 改造前后SNCR经济性分析</w:t>
      </w:r>
    </w:p>
    <w:tbl>
      <w:tblPr>
        <w:tblStyle w:val="5"/>
        <w:tblW w:w="8539" w:type="dxa"/>
        <w:jc w:val="center"/>
        <w:tblBorders>
          <w:top w:val="singl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Layout w:type="fixed"/>
        <w:tblCellMar>
          <w:top w:w="0" w:type="dxa"/>
          <w:left w:w="108" w:type="dxa"/>
          <w:bottom w:w="0" w:type="dxa"/>
          <w:right w:w="108" w:type="dxa"/>
        </w:tblCellMar>
      </w:tblPr>
      <w:tblGrid>
        <w:gridCol w:w="2157"/>
        <w:gridCol w:w="800"/>
        <w:gridCol w:w="1175"/>
        <w:gridCol w:w="1363"/>
        <w:gridCol w:w="962"/>
        <w:gridCol w:w="694"/>
        <w:gridCol w:w="694"/>
        <w:gridCol w:w="694"/>
      </w:tblGrid>
      <w:tr>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rPr>
          <w:trHeight w:val="283" w:hRule="atLeast"/>
          <w:jc w:val="center"/>
        </w:trPr>
        <w:tc>
          <w:tcPr>
            <w:tcW w:w="2157" w:type="dxa"/>
            <w:vMerge w:val="restart"/>
            <w:tcBorders>
              <w:left w:val="nil"/>
              <w:right w:val="nil"/>
            </w:tcBorders>
            <w:shd w:val="clear" w:color="auto" w:fill="auto"/>
            <w:noWrap/>
            <w:vAlign w:val="center"/>
          </w:tcPr>
          <w:p>
            <w:pPr>
              <w:bidi w:val="0"/>
              <w:jc w:val="center"/>
            </w:pPr>
            <w:r>
              <w:rPr>
                <w:rFonts w:hint="eastAsia"/>
                <w:lang w:val="en-US" w:eastAsia="zh-CN"/>
              </w:rPr>
              <w:t>项目</w:t>
            </w:r>
          </w:p>
        </w:tc>
        <w:tc>
          <w:tcPr>
            <w:tcW w:w="800" w:type="dxa"/>
            <w:vMerge w:val="restart"/>
            <w:tcBorders>
              <w:left w:val="nil"/>
              <w:right w:val="nil"/>
            </w:tcBorders>
            <w:shd w:val="clear" w:color="auto" w:fill="auto"/>
            <w:noWrap/>
            <w:vAlign w:val="center"/>
          </w:tcPr>
          <w:p>
            <w:pPr>
              <w:bidi w:val="0"/>
              <w:jc w:val="center"/>
              <w:rPr>
                <w:rFonts w:hint="eastAsia"/>
              </w:rPr>
            </w:pPr>
            <w:r>
              <w:rPr>
                <w:rFonts w:hint="eastAsia"/>
                <w:lang w:val="en-US" w:eastAsia="zh-CN"/>
              </w:rPr>
              <w:t>单位</w:t>
            </w:r>
          </w:p>
        </w:tc>
        <w:tc>
          <w:tcPr>
            <w:tcW w:w="1175" w:type="dxa"/>
            <w:vMerge w:val="restart"/>
            <w:tcBorders>
              <w:left w:val="nil"/>
              <w:right w:val="nil"/>
            </w:tcBorders>
            <w:shd w:val="clear" w:color="auto" w:fill="auto"/>
            <w:noWrap/>
            <w:vAlign w:val="center"/>
          </w:tcPr>
          <w:p>
            <w:pPr>
              <w:bidi w:val="0"/>
              <w:jc w:val="center"/>
              <w:rPr>
                <w:rFonts w:hint="default" w:eastAsia="宋体"/>
                <w:lang w:val="en-US" w:eastAsia="zh-CN"/>
              </w:rPr>
            </w:pPr>
            <w:r>
              <w:rPr>
                <w:rFonts w:hint="eastAsia"/>
                <w:lang w:val="en-US" w:eastAsia="zh-CN"/>
              </w:rPr>
              <w:t>供热站1</w:t>
            </w:r>
          </w:p>
        </w:tc>
        <w:tc>
          <w:tcPr>
            <w:tcW w:w="1363" w:type="dxa"/>
            <w:vMerge w:val="restart"/>
            <w:tcBorders>
              <w:left w:val="nil"/>
              <w:right w:val="nil"/>
            </w:tcBorders>
            <w:shd w:val="clear" w:color="auto" w:fill="auto"/>
            <w:noWrap/>
            <w:vAlign w:val="center"/>
          </w:tcPr>
          <w:p>
            <w:pPr>
              <w:bidi w:val="0"/>
              <w:jc w:val="center"/>
              <w:rPr>
                <w:rFonts w:hint="default" w:eastAsia="宋体"/>
                <w:lang w:val="en-US" w:eastAsia="zh-CN"/>
              </w:rPr>
            </w:pPr>
            <w:r>
              <w:rPr>
                <w:rFonts w:hint="eastAsia"/>
                <w:lang w:val="en-US" w:eastAsia="zh-CN"/>
              </w:rPr>
              <w:t>供热站2</w:t>
            </w:r>
          </w:p>
        </w:tc>
        <w:tc>
          <w:tcPr>
            <w:tcW w:w="1656" w:type="dxa"/>
            <w:gridSpan w:val="2"/>
            <w:tcBorders>
              <w:left w:val="nil"/>
              <w:bottom w:val="nil"/>
              <w:right w:val="nil"/>
            </w:tcBorders>
            <w:shd w:val="clear" w:color="auto" w:fill="auto"/>
            <w:noWrap/>
            <w:vAlign w:val="center"/>
          </w:tcPr>
          <w:p>
            <w:pPr>
              <w:bidi w:val="0"/>
              <w:jc w:val="center"/>
              <w:rPr>
                <w:rFonts w:hint="default"/>
                <w:lang w:val="en-US" w:eastAsia="zh-CN"/>
              </w:rPr>
            </w:pPr>
            <w:r>
              <w:rPr>
                <w:rFonts w:hint="eastAsia"/>
                <w:lang w:val="en-US" w:eastAsia="zh-CN"/>
              </w:rPr>
              <w:t>供热站3</w:t>
            </w:r>
          </w:p>
        </w:tc>
        <w:tc>
          <w:tcPr>
            <w:tcW w:w="1388" w:type="dxa"/>
            <w:gridSpan w:val="2"/>
            <w:tcBorders>
              <w:left w:val="nil"/>
              <w:bottom w:val="nil"/>
              <w:right w:val="nil"/>
            </w:tcBorders>
            <w:shd w:val="clear" w:color="auto" w:fill="auto"/>
            <w:noWrap/>
            <w:vAlign w:val="center"/>
          </w:tcPr>
          <w:p>
            <w:pPr>
              <w:bidi w:val="0"/>
              <w:jc w:val="center"/>
              <w:rPr>
                <w:rFonts w:hint="default" w:eastAsia="宋体"/>
                <w:lang w:val="en-US" w:eastAsia="zh-CN"/>
              </w:rPr>
            </w:pPr>
            <w:r>
              <w:rPr>
                <w:rFonts w:hint="eastAsia"/>
                <w:lang w:val="en-US" w:eastAsia="zh-CN"/>
              </w:rPr>
              <w:t>供热站4</w:t>
            </w:r>
          </w:p>
        </w:tc>
      </w:tr>
      <w:tr>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rPr>
          <w:trHeight w:val="283" w:hRule="atLeast"/>
          <w:jc w:val="center"/>
        </w:trPr>
        <w:tc>
          <w:tcPr>
            <w:tcW w:w="2157" w:type="dxa"/>
            <w:vMerge w:val="continue"/>
            <w:tcBorders>
              <w:left w:val="nil"/>
              <w:bottom w:val="single" w:color="auto" w:sz="4" w:space="0"/>
              <w:right w:val="nil"/>
            </w:tcBorders>
            <w:shd w:val="clear" w:color="auto" w:fill="auto"/>
            <w:noWrap/>
            <w:vAlign w:val="center"/>
          </w:tcPr>
          <w:p>
            <w:pPr>
              <w:bidi w:val="0"/>
              <w:jc w:val="center"/>
              <w:rPr>
                <w:rFonts w:hint="eastAsia"/>
              </w:rPr>
            </w:pPr>
          </w:p>
        </w:tc>
        <w:tc>
          <w:tcPr>
            <w:tcW w:w="800" w:type="dxa"/>
            <w:vMerge w:val="continue"/>
            <w:tcBorders>
              <w:left w:val="nil"/>
              <w:bottom w:val="single" w:color="auto" w:sz="4" w:space="0"/>
              <w:right w:val="nil"/>
            </w:tcBorders>
            <w:shd w:val="clear" w:color="auto" w:fill="auto"/>
            <w:noWrap/>
            <w:vAlign w:val="center"/>
          </w:tcPr>
          <w:p>
            <w:pPr>
              <w:bidi w:val="0"/>
              <w:jc w:val="center"/>
              <w:rPr>
                <w:rFonts w:hint="eastAsia"/>
              </w:rPr>
            </w:pPr>
          </w:p>
        </w:tc>
        <w:tc>
          <w:tcPr>
            <w:tcW w:w="1175" w:type="dxa"/>
            <w:vMerge w:val="continue"/>
            <w:tcBorders>
              <w:left w:val="nil"/>
              <w:bottom w:val="single" w:color="auto" w:sz="4" w:space="0"/>
              <w:right w:val="nil"/>
            </w:tcBorders>
            <w:shd w:val="clear" w:color="auto" w:fill="auto"/>
            <w:noWrap/>
            <w:vAlign w:val="center"/>
          </w:tcPr>
          <w:p>
            <w:pPr>
              <w:bidi w:val="0"/>
              <w:jc w:val="center"/>
              <w:rPr>
                <w:rFonts w:hint="eastAsia"/>
              </w:rPr>
            </w:pPr>
          </w:p>
        </w:tc>
        <w:tc>
          <w:tcPr>
            <w:tcW w:w="1363" w:type="dxa"/>
            <w:vMerge w:val="continue"/>
            <w:tcBorders>
              <w:left w:val="nil"/>
              <w:bottom w:val="single" w:color="auto" w:sz="4" w:space="0"/>
              <w:right w:val="nil"/>
            </w:tcBorders>
            <w:shd w:val="clear" w:color="auto" w:fill="auto"/>
            <w:noWrap/>
            <w:vAlign w:val="center"/>
          </w:tcPr>
          <w:p>
            <w:pPr>
              <w:bidi w:val="0"/>
              <w:jc w:val="center"/>
              <w:rPr>
                <w:rFonts w:hint="eastAsia"/>
              </w:rPr>
            </w:pPr>
          </w:p>
        </w:tc>
        <w:tc>
          <w:tcPr>
            <w:tcW w:w="962" w:type="dxa"/>
            <w:tcBorders>
              <w:top w:val="nil"/>
              <w:left w:val="nil"/>
              <w:bottom w:val="single" w:color="auto" w:sz="4" w:space="0"/>
              <w:right w:val="nil"/>
            </w:tcBorders>
            <w:shd w:val="clear" w:color="auto" w:fill="auto"/>
            <w:noWrap/>
            <w:vAlign w:val="center"/>
          </w:tcPr>
          <w:p>
            <w:pPr>
              <w:bidi w:val="0"/>
              <w:jc w:val="center"/>
              <w:rPr>
                <w:rFonts w:hint="eastAsia" w:ascii="Times New Roman" w:hAnsi="Times New Roman" w:eastAsia="宋体" w:cs="Times New Roman"/>
                <w:kern w:val="2"/>
                <w:sz w:val="21"/>
                <w:szCs w:val="24"/>
                <w:lang w:val="en-US" w:eastAsia="zh-CN" w:bidi="ar-SA"/>
              </w:rPr>
            </w:pPr>
            <w:r>
              <w:rPr>
                <w:rFonts w:hint="eastAsia"/>
                <w:lang w:val="en-US" w:eastAsia="zh-CN"/>
              </w:rPr>
              <w:t>尿素</w:t>
            </w:r>
          </w:p>
        </w:tc>
        <w:tc>
          <w:tcPr>
            <w:tcW w:w="694" w:type="dxa"/>
            <w:tcBorders>
              <w:top w:val="nil"/>
              <w:left w:val="nil"/>
              <w:bottom w:val="single" w:color="auto" w:sz="4" w:space="0"/>
              <w:right w:val="nil"/>
            </w:tcBorders>
            <w:shd w:val="clear" w:color="auto" w:fill="auto"/>
            <w:noWrap/>
            <w:vAlign w:val="center"/>
          </w:tcPr>
          <w:p>
            <w:pPr>
              <w:bidi w:val="0"/>
              <w:jc w:val="center"/>
              <w:rPr>
                <w:rFonts w:hint="eastAsia" w:ascii="Times New Roman" w:hAnsi="Times New Roman" w:eastAsia="宋体" w:cs="Times New Roman"/>
                <w:kern w:val="2"/>
                <w:sz w:val="21"/>
                <w:szCs w:val="24"/>
                <w:lang w:val="en-US" w:eastAsia="zh-CN" w:bidi="ar-SA"/>
              </w:rPr>
            </w:pPr>
            <w:r>
              <w:rPr>
                <w:rFonts w:hint="eastAsia"/>
                <w:lang w:val="en-US" w:eastAsia="zh-CN"/>
              </w:rPr>
              <w:t>液氧</w:t>
            </w:r>
          </w:p>
        </w:tc>
        <w:tc>
          <w:tcPr>
            <w:tcW w:w="694" w:type="dxa"/>
            <w:tcBorders>
              <w:top w:val="nil"/>
              <w:left w:val="nil"/>
              <w:bottom w:val="single" w:color="auto" w:sz="4" w:space="0"/>
              <w:right w:val="nil"/>
            </w:tcBorders>
            <w:shd w:val="clear" w:color="auto" w:fill="auto"/>
            <w:noWrap/>
            <w:vAlign w:val="center"/>
          </w:tcPr>
          <w:p>
            <w:pPr>
              <w:bidi w:val="0"/>
              <w:jc w:val="center"/>
              <w:rPr>
                <w:rFonts w:hint="eastAsia" w:ascii="Times New Roman" w:hAnsi="Times New Roman" w:eastAsia="宋体" w:cs="Times New Roman"/>
                <w:kern w:val="2"/>
                <w:sz w:val="21"/>
                <w:szCs w:val="24"/>
                <w:lang w:val="en-US" w:eastAsia="zh-CN" w:bidi="ar-SA"/>
              </w:rPr>
            </w:pPr>
            <w:r>
              <w:rPr>
                <w:rFonts w:hint="eastAsia"/>
                <w:lang w:val="en-US" w:eastAsia="zh-CN"/>
              </w:rPr>
              <w:t>尿素</w:t>
            </w:r>
          </w:p>
        </w:tc>
        <w:tc>
          <w:tcPr>
            <w:tcW w:w="694" w:type="dxa"/>
            <w:tcBorders>
              <w:top w:val="nil"/>
              <w:left w:val="nil"/>
              <w:bottom w:val="single" w:color="auto" w:sz="4" w:space="0"/>
              <w:right w:val="nil"/>
            </w:tcBorders>
            <w:shd w:val="clear" w:color="auto" w:fill="auto"/>
            <w:noWrap/>
            <w:vAlign w:val="center"/>
          </w:tcPr>
          <w:p>
            <w:pPr>
              <w:bidi w:val="0"/>
              <w:jc w:val="center"/>
              <w:rPr>
                <w:rFonts w:hint="eastAsia" w:ascii="Times New Roman" w:hAnsi="Times New Roman" w:eastAsia="宋体" w:cs="Times New Roman"/>
                <w:kern w:val="2"/>
                <w:sz w:val="21"/>
                <w:szCs w:val="24"/>
                <w:lang w:val="en-US" w:eastAsia="zh-CN" w:bidi="ar-SA"/>
              </w:rPr>
            </w:pPr>
            <w:r>
              <w:rPr>
                <w:rFonts w:hint="eastAsia"/>
                <w:lang w:val="en-US" w:eastAsia="zh-CN"/>
              </w:rPr>
              <w:t>液氧</w:t>
            </w:r>
          </w:p>
        </w:tc>
      </w:tr>
      <w:tr>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rPr>
          <w:trHeight w:val="283" w:hRule="atLeast"/>
          <w:jc w:val="center"/>
        </w:trPr>
        <w:tc>
          <w:tcPr>
            <w:tcW w:w="2157"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未改造前脱硝反应剂耗量</w:t>
            </w:r>
          </w:p>
        </w:tc>
        <w:tc>
          <w:tcPr>
            <w:tcW w:w="800"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kg/t</w:t>
            </w:r>
          </w:p>
        </w:tc>
        <w:tc>
          <w:tcPr>
            <w:tcW w:w="1175"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1.41</w:t>
            </w:r>
          </w:p>
        </w:tc>
        <w:tc>
          <w:tcPr>
            <w:tcW w:w="1363"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0.49</w:t>
            </w:r>
          </w:p>
        </w:tc>
        <w:tc>
          <w:tcPr>
            <w:tcW w:w="962" w:type="dxa"/>
            <w:tcBorders>
              <w:top w:val="nil"/>
              <w:left w:val="nil"/>
              <w:bottom w:val="nil"/>
              <w:right w:val="nil"/>
            </w:tcBorders>
            <w:shd w:val="clear" w:color="auto" w:fill="auto"/>
            <w:noWrap/>
            <w:vAlign w:val="center"/>
          </w:tcPr>
          <w:p>
            <w:pPr>
              <w:bidi w:val="0"/>
              <w:jc w:val="center"/>
              <w:rPr>
                <w:rFonts w:hint="eastAsia" w:ascii="Times New Roman" w:hAnsi="Times New Roman" w:eastAsia="宋体" w:cs="Times New Roman"/>
                <w:kern w:val="2"/>
                <w:sz w:val="21"/>
                <w:szCs w:val="24"/>
                <w:lang w:val="en-US" w:eastAsia="zh-CN" w:bidi="ar-SA"/>
              </w:rPr>
            </w:pPr>
            <w:r>
              <w:rPr>
                <w:rFonts w:hint="eastAsia"/>
                <w:lang w:val="en-US" w:eastAsia="zh-CN"/>
              </w:rPr>
              <w:t>1.35</w:t>
            </w:r>
          </w:p>
        </w:tc>
        <w:tc>
          <w:tcPr>
            <w:tcW w:w="694" w:type="dxa"/>
            <w:tcBorders>
              <w:top w:val="nil"/>
              <w:left w:val="nil"/>
              <w:bottom w:val="nil"/>
              <w:right w:val="nil"/>
            </w:tcBorders>
            <w:shd w:val="clear" w:color="auto" w:fill="auto"/>
            <w:noWrap/>
            <w:vAlign w:val="center"/>
          </w:tcPr>
          <w:p>
            <w:pPr>
              <w:bidi w:val="0"/>
              <w:jc w:val="center"/>
              <w:rPr>
                <w:rFonts w:hint="default"/>
                <w:lang w:val="en-US" w:eastAsia="zh-CN"/>
              </w:rPr>
            </w:pPr>
            <w:r>
              <w:rPr>
                <w:rFonts w:hint="eastAsia"/>
                <w:lang w:val="en-US" w:eastAsia="zh-CN"/>
              </w:rPr>
              <w:t>1.30</w:t>
            </w:r>
          </w:p>
        </w:tc>
        <w:tc>
          <w:tcPr>
            <w:tcW w:w="694"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1.07</w:t>
            </w:r>
          </w:p>
        </w:tc>
        <w:tc>
          <w:tcPr>
            <w:tcW w:w="694"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2.55</w:t>
            </w:r>
          </w:p>
        </w:tc>
      </w:tr>
      <w:tr>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rPr>
          <w:trHeight w:val="283" w:hRule="atLeast"/>
          <w:jc w:val="center"/>
        </w:trPr>
        <w:tc>
          <w:tcPr>
            <w:tcW w:w="2157"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改造后尿素耗量</w:t>
            </w:r>
          </w:p>
        </w:tc>
        <w:tc>
          <w:tcPr>
            <w:tcW w:w="800"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kg/t</w:t>
            </w:r>
          </w:p>
        </w:tc>
        <w:tc>
          <w:tcPr>
            <w:tcW w:w="1175"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0.78</w:t>
            </w:r>
          </w:p>
        </w:tc>
        <w:tc>
          <w:tcPr>
            <w:tcW w:w="1363"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0.4</w:t>
            </w:r>
          </w:p>
        </w:tc>
        <w:tc>
          <w:tcPr>
            <w:tcW w:w="962" w:type="dxa"/>
            <w:tcBorders>
              <w:top w:val="nil"/>
              <w:left w:val="nil"/>
              <w:bottom w:val="nil"/>
              <w:right w:val="nil"/>
            </w:tcBorders>
            <w:shd w:val="clear" w:color="auto" w:fill="auto"/>
            <w:noWrap/>
            <w:vAlign w:val="center"/>
          </w:tcPr>
          <w:p>
            <w:pPr>
              <w:bidi w:val="0"/>
              <w:jc w:val="center"/>
              <w:rPr>
                <w:rFonts w:hint="eastAsia" w:ascii="Times New Roman" w:hAnsi="Times New Roman" w:eastAsia="宋体" w:cs="Times New Roman"/>
                <w:kern w:val="2"/>
                <w:sz w:val="21"/>
                <w:szCs w:val="24"/>
                <w:lang w:val="en-US" w:eastAsia="zh-CN" w:bidi="ar-SA"/>
              </w:rPr>
            </w:pPr>
            <w:r>
              <w:rPr>
                <w:rFonts w:hint="eastAsia"/>
                <w:lang w:val="en-US" w:eastAsia="zh-CN"/>
              </w:rPr>
              <w:t>1.43</w:t>
            </w:r>
          </w:p>
        </w:tc>
        <w:tc>
          <w:tcPr>
            <w:tcW w:w="694" w:type="dxa"/>
            <w:tcBorders>
              <w:top w:val="nil"/>
              <w:left w:val="nil"/>
              <w:bottom w:val="nil"/>
              <w:right w:val="nil"/>
            </w:tcBorders>
            <w:shd w:val="clear" w:color="auto" w:fill="auto"/>
            <w:noWrap/>
            <w:vAlign w:val="center"/>
          </w:tcPr>
          <w:p>
            <w:pPr>
              <w:bidi w:val="0"/>
              <w:jc w:val="center"/>
              <w:rPr>
                <w:rFonts w:hint="default"/>
                <w:lang w:val="en-US" w:eastAsia="zh-CN"/>
              </w:rPr>
            </w:pPr>
            <w:r>
              <w:rPr>
                <w:rFonts w:hint="eastAsia"/>
                <w:lang w:val="en-US" w:eastAsia="zh-CN"/>
              </w:rPr>
              <w:t>0.61</w:t>
            </w:r>
          </w:p>
        </w:tc>
        <w:tc>
          <w:tcPr>
            <w:tcW w:w="694"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1.23</w:t>
            </w:r>
          </w:p>
        </w:tc>
        <w:tc>
          <w:tcPr>
            <w:tcW w:w="694"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0.63</w:t>
            </w:r>
          </w:p>
        </w:tc>
      </w:tr>
      <w:tr>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rPr>
          <w:trHeight w:val="283" w:hRule="atLeast"/>
          <w:jc w:val="center"/>
        </w:trPr>
        <w:tc>
          <w:tcPr>
            <w:tcW w:w="2157"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2023年蒸汽产量</w:t>
            </w:r>
          </w:p>
        </w:tc>
        <w:tc>
          <w:tcPr>
            <w:tcW w:w="800"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蒸吨</w:t>
            </w:r>
          </w:p>
        </w:tc>
        <w:tc>
          <w:tcPr>
            <w:tcW w:w="1175"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422077</w:t>
            </w:r>
          </w:p>
        </w:tc>
        <w:tc>
          <w:tcPr>
            <w:tcW w:w="1363"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189204</w:t>
            </w:r>
          </w:p>
        </w:tc>
        <w:tc>
          <w:tcPr>
            <w:tcW w:w="1656" w:type="dxa"/>
            <w:gridSpan w:val="2"/>
            <w:tcBorders>
              <w:top w:val="nil"/>
              <w:left w:val="nil"/>
              <w:bottom w:val="nil"/>
              <w:right w:val="nil"/>
            </w:tcBorders>
            <w:shd w:val="clear" w:color="auto" w:fill="auto"/>
            <w:noWrap/>
            <w:vAlign w:val="center"/>
          </w:tcPr>
          <w:p>
            <w:pPr>
              <w:bidi w:val="0"/>
              <w:jc w:val="center"/>
              <w:rPr>
                <w:rFonts w:hint="eastAsia"/>
                <w:lang w:val="en-US" w:eastAsia="zh-CN"/>
              </w:rPr>
            </w:pPr>
            <w:r>
              <w:rPr>
                <w:rFonts w:hint="eastAsia"/>
                <w:lang w:val="en-US" w:eastAsia="zh-CN"/>
              </w:rPr>
              <w:t>131136</w:t>
            </w:r>
          </w:p>
        </w:tc>
        <w:tc>
          <w:tcPr>
            <w:tcW w:w="1388" w:type="dxa"/>
            <w:gridSpan w:val="2"/>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176848</w:t>
            </w:r>
          </w:p>
        </w:tc>
      </w:tr>
      <w:tr>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rPr>
          <w:trHeight w:val="283" w:hRule="atLeast"/>
          <w:jc w:val="center"/>
        </w:trPr>
        <w:tc>
          <w:tcPr>
            <w:tcW w:w="2157"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脱硝反应剂节省量</w:t>
            </w:r>
          </w:p>
        </w:tc>
        <w:tc>
          <w:tcPr>
            <w:tcW w:w="800" w:type="dxa"/>
            <w:tcBorders>
              <w:top w:val="nil"/>
              <w:left w:val="nil"/>
              <w:bottom w:val="nil"/>
              <w:right w:val="nil"/>
            </w:tcBorders>
            <w:shd w:val="clear" w:color="auto" w:fill="auto"/>
            <w:noWrap/>
            <w:vAlign w:val="center"/>
          </w:tcPr>
          <w:p>
            <w:pPr>
              <w:bidi w:val="0"/>
              <w:jc w:val="center"/>
              <w:rPr>
                <w:rFonts w:hint="eastAsia" w:eastAsia="宋体"/>
                <w:lang w:val="en-US" w:eastAsia="zh-CN"/>
              </w:rPr>
            </w:pPr>
            <w:r>
              <w:rPr>
                <w:rFonts w:hint="eastAsia"/>
                <w:lang w:val="en-US" w:eastAsia="zh-CN"/>
              </w:rPr>
              <w:t>吨</w:t>
            </w:r>
          </w:p>
        </w:tc>
        <w:tc>
          <w:tcPr>
            <w:tcW w:w="1175"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266</w:t>
            </w:r>
          </w:p>
        </w:tc>
        <w:tc>
          <w:tcPr>
            <w:tcW w:w="1363"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17</w:t>
            </w:r>
          </w:p>
        </w:tc>
        <w:tc>
          <w:tcPr>
            <w:tcW w:w="962" w:type="dxa"/>
            <w:tcBorders>
              <w:top w:val="nil"/>
              <w:left w:val="nil"/>
              <w:bottom w:val="nil"/>
              <w:right w:val="nil"/>
            </w:tcBorders>
            <w:shd w:val="clear" w:color="auto" w:fill="auto"/>
            <w:noWrap/>
            <w:vAlign w:val="center"/>
          </w:tcPr>
          <w:p>
            <w:pPr>
              <w:bidi w:val="0"/>
              <w:jc w:val="center"/>
              <w:rPr>
                <w:rFonts w:hint="default"/>
                <w:lang w:val="en-US" w:eastAsia="zh-CN"/>
              </w:rPr>
            </w:pPr>
            <w:r>
              <w:rPr>
                <w:rFonts w:hint="eastAsia"/>
                <w:lang w:val="en-US" w:eastAsia="zh-CN"/>
              </w:rPr>
              <w:t>-10.5</w:t>
            </w:r>
          </w:p>
        </w:tc>
        <w:tc>
          <w:tcPr>
            <w:tcW w:w="694" w:type="dxa"/>
            <w:tcBorders>
              <w:top w:val="nil"/>
              <w:left w:val="nil"/>
              <w:bottom w:val="nil"/>
              <w:right w:val="nil"/>
            </w:tcBorders>
            <w:shd w:val="clear" w:color="auto" w:fill="auto"/>
            <w:noWrap/>
            <w:vAlign w:val="center"/>
          </w:tcPr>
          <w:p>
            <w:pPr>
              <w:bidi w:val="0"/>
              <w:jc w:val="center"/>
              <w:rPr>
                <w:rFonts w:hint="default"/>
                <w:lang w:val="en-US" w:eastAsia="zh-CN"/>
              </w:rPr>
            </w:pPr>
            <w:r>
              <w:rPr>
                <w:rFonts w:hint="eastAsia"/>
                <w:lang w:val="en-US" w:eastAsia="zh-CN"/>
              </w:rPr>
              <w:t>90.5</w:t>
            </w:r>
          </w:p>
        </w:tc>
        <w:tc>
          <w:tcPr>
            <w:tcW w:w="694"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-28</w:t>
            </w:r>
          </w:p>
        </w:tc>
        <w:tc>
          <w:tcPr>
            <w:tcW w:w="694" w:type="dxa"/>
            <w:tcBorders>
              <w:top w:val="nil"/>
              <w:left w:val="nil"/>
              <w:bottom w:val="nil"/>
              <w:right w:val="nil"/>
            </w:tcBorders>
            <w:shd w:val="clear" w:color="auto" w:fill="auto"/>
            <w:noWrap/>
            <w:vAlign w:val="center"/>
          </w:tcPr>
          <w:p>
            <w:pPr>
              <w:bidi w:val="0"/>
              <w:jc w:val="center"/>
              <w:rPr>
                <w:rFonts w:hint="eastAsia"/>
              </w:rPr>
            </w:pPr>
            <w:r>
              <w:rPr>
                <w:rFonts w:hint="eastAsia"/>
                <w:lang w:val="en-US" w:eastAsia="zh-CN"/>
              </w:rPr>
              <w:t>340</w:t>
            </w:r>
          </w:p>
        </w:tc>
      </w:tr>
      <w:tr>
        <w:tblPrEx>
          <w:tblBorders>
            <w:top w:val="single" w:color="auto" w:sz="4" w:space="0"/>
            <w:left w:val="none" w:color="auto" w:sz="4" w:space="0"/>
            <w:bottom w:val="single" w:color="auto" w:sz="4" w:space="0"/>
            <w:right w:val="none" w:color="auto" w:sz="4" w:space="0"/>
            <w:insideH w:val="none" w:color="auto" w:sz="4" w:space="0"/>
            <w:insideV w:val="none" w:color="auto" w:sz="4" w:space="0"/>
          </w:tblBorders>
          <w:shd w:val="clear" w:color="auto" w:fill="auto"/>
          <w:tblCellMar>
            <w:top w:w="0" w:type="dxa"/>
            <w:left w:w="108" w:type="dxa"/>
            <w:bottom w:w="0" w:type="dxa"/>
            <w:right w:w="108" w:type="dxa"/>
          </w:tblCellMar>
        </w:tblPrEx>
        <w:trPr>
          <w:trHeight w:val="283" w:hRule="atLeast"/>
          <w:jc w:val="center"/>
        </w:trPr>
        <w:tc>
          <w:tcPr>
            <w:tcW w:w="2157" w:type="dxa"/>
            <w:tcBorders>
              <w:top w:val="nil"/>
              <w:left w:val="nil"/>
              <w:right w:val="nil"/>
            </w:tcBorders>
            <w:shd w:val="clear" w:color="auto" w:fill="auto"/>
            <w:noWrap/>
            <w:vAlign w:val="center"/>
          </w:tcPr>
          <w:p>
            <w:pPr>
              <w:bidi w:val="0"/>
              <w:jc w:val="center"/>
              <w:rPr>
                <w:rFonts w:hint="eastAsia"/>
              </w:rPr>
            </w:pPr>
            <w:r>
              <w:rPr>
                <w:rFonts w:hint="eastAsia"/>
                <w:lang w:val="en-US" w:eastAsia="zh-CN"/>
              </w:rPr>
              <w:t>节省成本</w:t>
            </w:r>
          </w:p>
        </w:tc>
        <w:tc>
          <w:tcPr>
            <w:tcW w:w="800" w:type="dxa"/>
            <w:tcBorders>
              <w:top w:val="nil"/>
              <w:left w:val="nil"/>
              <w:right w:val="nil"/>
            </w:tcBorders>
            <w:shd w:val="clear" w:color="auto" w:fill="auto"/>
            <w:noWrap/>
            <w:vAlign w:val="center"/>
          </w:tcPr>
          <w:p>
            <w:pPr>
              <w:bidi w:val="0"/>
              <w:jc w:val="center"/>
              <w:rPr>
                <w:rFonts w:hint="eastAsia" w:eastAsia="宋体"/>
                <w:lang w:val="en-US" w:eastAsia="zh-CN"/>
              </w:rPr>
            </w:pPr>
            <w:r>
              <w:rPr>
                <w:rFonts w:hint="eastAsia"/>
                <w:lang w:val="en-US" w:eastAsia="zh-CN"/>
              </w:rPr>
              <w:t>万元</w:t>
            </w:r>
          </w:p>
        </w:tc>
        <w:tc>
          <w:tcPr>
            <w:tcW w:w="1175" w:type="dxa"/>
            <w:tcBorders>
              <w:top w:val="nil"/>
              <w:left w:val="nil"/>
              <w:right w:val="nil"/>
            </w:tcBorders>
            <w:shd w:val="clear" w:color="auto" w:fill="auto"/>
            <w:noWrap/>
            <w:vAlign w:val="center"/>
          </w:tcPr>
          <w:p>
            <w:pPr>
              <w:bidi w:val="0"/>
              <w:jc w:val="center"/>
              <w:rPr>
                <w:rFonts w:hint="eastAsia"/>
              </w:rPr>
            </w:pPr>
            <w:r>
              <w:rPr>
                <w:rFonts w:hint="eastAsia"/>
                <w:lang w:val="en-US" w:eastAsia="zh-CN"/>
              </w:rPr>
              <w:t>74</w:t>
            </w:r>
          </w:p>
        </w:tc>
        <w:tc>
          <w:tcPr>
            <w:tcW w:w="1363" w:type="dxa"/>
            <w:tcBorders>
              <w:top w:val="nil"/>
              <w:left w:val="nil"/>
              <w:right w:val="nil"/>
            </w:tcBorders>
            <w:shd w:val="clear" w:color="auto" w:fill="auto"/>
            <w:noWrap/>
            <w:vAlign w:val="center"/>
          </w:tcPr>
          <w:p>
            <w:pPr>
              <w:bidi w:val="0"/>
              <w:jc w:val="center"/>
              <w:rPr>
                <w:rFonts w:hint="eastAsia"/>
              </w:rPr>
            </w:pPr>
            <w:r>
              <w:rPr>
                <w:rFonts w:hint="eastAsia"/>
                <w:lang w:val="en-US" w:eastAsia="zh-CN"/>
              </w:rPr>
              <w:t>5</w:t>
            </w:r>
          </w:p>
        </w:tc>
        <w:tc>
          <w:tcPr>
            <w:tcW w:w="962" w:type="dxa"/>
            <w:tcBorders>
              <w:top w:val="nil"/>
              <w:left w:val="nil"/>
              <w:right w:val="nil"/>
            </w:tcBorders>
            <w:shd w:val="clear" w:color="auto" w:fill="auto"/>
            <w:noWrap/>
            <w:vAlign w:val="center"/>
          </w:tcPr>
          <w:p>
            <w:pPr>
              <w:bidi w:val="0"/>
              <w:jc w:val="center"/>
              <w:rPr>
                <w:rFonts w:hint="eastAsia"/>
                <w:lang w:val="en-US" w:eastAsia="zh-CN"/>
              </w:rPr>
            </w:pPr>
            <w:r>
              <w:rPr>
                <w:rFonts w:hint="eastAsia"/>
                <w:lang w:val="en-US" w:eastAsia="zh-CN"/>
              </w:rPr>
              <w:t>-3</w:t>
            </w:r>
          </w:p>
        </w:tc>
        <w:tc>
          <w:tcPr>
            <w:tcW w:w="694" w:type="dxa"/>
            <w:tcBorders>
              <w:top w:val="nil"/>
              <w:left w:val="nil"/>
              <w:right w:val="nil"/>
            </w:tcBorders>
            <w:shd w:val="clear" w:color="auto" w:fill="auto"/>
            <w:noWrap/>
            <w:vAlign w:val="center"/>
          </w:tcPr>
          <w:p>
            <w:pPr>
              <w:bidi w:val="0"/>
              <w:jc w:val="center"/>
              <w:rPr>
                <w:rFonts w:hint="default"/>
                <w:lang w:val="en-US" w:eastAsia="zh-CN"/>
              </w:rPr>
            </w:pPr>
            <w:r>
              <w:rPr>
                <w:rFonts w:hint="eastAsia"/>
                <w:lang w:val="en-US" w:eastAsia="zh-CN"/>
              </w:rPr>
              <w:t>4.5</w:t>
            </w:r>
          </w:p>
        </w:tc>
        <w:tc>
          <w:tcPr>
            <w:tcW w:w="694" w:type="dxa"/>
            <w:tcBorders>
              <w:top w:val="nil"/>
              <w:left w:val="nil"/>
              <w:right w:val="nil"/>
            </w:tcBorders>
            <w:shd w:val="clear" w:color="auto" w:fill="auto"/>
            <w:noWrap/>
            <w:vAlign w:val="center"/>
          </w:tcPr>
          <w:p>
            <w:pPr>
              <w:bidi w:val="0"/>
              <w:jc w:val="center"/>
              <w:rPr>
                <w:rFonts w:hint="eastAsia"/>
              </w:rPr>
            </w:pPr>
            <w:r>
              <w:rPr>
                <w:rFonts w:hint="eastAsia"/>
                <w:lang w:val="en-US" w:eastAsia="zh-CN"/>
              </w:rPr>
              <w:t>-8</w:t>
            </w:r>
          </w:p>
        </w:tc>
        <w:tc>
          <w:tcPr>
            <w:tcW w:w="694" w:type="dxa"/>
            <w:tcBorders>
              <w:top w:val="nil"/>
              <w:left w:val="nil"/>
              <w:right w:val="nil"/>
            </w:tcBorders>
            <w:shd w:val="clear" w:color="auto" w:fill="auto"/>
            <w:noWrap/>
            <w:vAlign w:val="center"/>
          </w:tcPr>
          <w:p>
            <w:pPr>
              <w:bidi w:val="0"/>
              <w:jc w:val="center"/>
              <w:rPr>
                <w:rFonts w:hint="eastAsia"/>
              </w:rPr>
            </w:pPr>
            <w:r>
              <w:rPr>
                <w:rFonts w:hint="eastAsia"/>
                <w:lang w:val="en-US" w:eastAsia="zh-CN"/>
              </w:rPr>
              <w:t>17</w:t>
            </w:r>
          </w:p>
        </w:tc>
      </w:tr>
    </w:tbl>
    <w:p>
      <w:pPr>
        <w:pStyle w:val="2"/>
        <w:rPr>
          <w:rFonts w:hint="default"/>
          <w:lang w:val="en-US" w:eastAsia="zh-CN"/>
        </w:rPr>
      </w:pPr>
    </w:p>
    <w:p>
      <w:pPr>
        <w:numPr>
          <w:ilvl w:val="0"/>
          <w:numId w:val="1"/>
        </w:numPr>
        <w:ind w:left="0" w:leftChars="0" w:firstLine="0" w:firstLineChars="0"/>
        <w:rPr>
          <w:rFonts w:hint="eastAsia"/>
          <w:sz w:val="28"/>
          <w:szCs w:val="28"/>
        </w:rPr>
      </w:pPr>
      <w:bookmarkStart w:id="0" w:name="_GoBack"/>
      <w:bookmarkEnd w:id="0"/>
      <w:r>
        <w:rPr>
          <w:rFonts w:hint="eastAsia"/>
          <w:sz w:val="28"/>
          <w:szCs w:val="28"/>
        </w:rPr>
        <w:t>采用国际标准的程度及水平的简要说明；</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eastAsia"/>
          <w:sz w:val="24"/>
          <w:szCs w:val="24"/>
          <w:lang w:val="en-US" w:eastAsia="zh-CN"/>
        </w:rPr>
        <w:t>本标准等同采用国际标准，在标准中引用的《HJ 562 火电厂烟气脱硝工程技术规范 选择性催化还原法》标准也是国际认可的脱硝技术标准之一。</w:t>
      </w:r>
    </w:p>
    <w:p>
      <w:pPr>
        <w:rPr>
          <w:rFonts w:hint="eastAsia"/>
          <w:sz w:val="28"/>
          <w:szCs w:val="28"/>
        </w:rPr>
      </w:pPr>
      <w:r>
        <w:rPr>
          <w:rFonts w:hint="eastAsia"/>
          <w:sz w:val="28"/>
          <w:szCs w:val="28"/>
        </w:rPr>
        <w:t>五、重大分歧意见的处理经过和依据；</w:t>
      </w:r>
    </w:p>
    <w:p>
      <w:pPr>
        <w:ind w:firstLine="560" w:firstLineChars="200"/>
        <w:rPr>
          <w:rFonts w:hint="eastAsia" w:eastAsia="宋体"/>
          <w:sz w:val="28"/>
          <w:szCs w:val="28"/>
          <w:lang w:val="en-US" w:eastAsia="zh-CN"/>
        </w:rPr>
      </w:pPr>
      <w:r>
        <w:rPr>
          <w:rFonts w:hint="eastAsia"/>
          <w:sz w:val="28"/>
          <w:szCs w:val="28"/>
          <w:lang w:val="en-US" w:eastAsia="zh-CN"/>
        </w:rPr>
        <w:t>无</w:t>
      </w:r>
    </w:p>
    <w:p>
      <w:pPr>
        <w:numPr>
          <w:ilvl w:val="0"/>
          <w:numId w:val="1"/>
        </w:numPr>
        <w:ind w:left="0" w:leftChars="0" w:firstLine="0" w:firstLineChars="0"/>
        <w:rPr>
          <w:rFonts w:hint="eastAsia"/>
          <w:sz w:val="28"/>
          <w:szCs w:val="28"/>
        </w:rPr>
      </w:pPr>
      <w:r>
        <w:rPr>
          <w:rFonts w:hint="eastAsia"/>
          <w:sz w:val="28"/>
          <w:szCs w:val="28"/>
        </w:rPr>
        <w:t>贯彻中国煤炭学会标准的要求和措施建议（包括组织措施、技术措施、过渡办法等内容）；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sz w:val="24"/>
          <w:szCs w:val="24"/>
          <w:lang w:val="en-US" w:eastAsia="zh-CN"/>
        </w:rPr>
      </w:pPr>
      <w:r>
        <w:rPr>
          <w:rFonts w:hint="eastAsia"/>
          <w:sz w:val="24"/>
          <w:szCs w:val="24"/>
          <w:lang w:val="en-US" w:eastAsia="zh-CN"/>
        </w:rPr>
        <w:t>本标准的编制贯彻了中国煤炭学会《中国煤炭学会标准工作管理办法》，按照中国煤炭学会团体标准制定工作程序进行标准的立项和起草，北京天地融创科技股份有限公司成立标准工作组承担标准的制定工作，充分研究和分析国内外与标准有关的生产、使用和科研发展情况相应的国际标准，并进行必要的试验验证工作。</w:t>
      </w:r>
    </w:p>
    <w:p>
      <w:pPr>
        <w:rPr>
          <w:rFonts w:hint="eastAsia"/>
          <w:sz w:val="28"/>
          <w:szCs w:val="28"/>
        </w:rPr>
      </w:pPr>
      <w:r>
        <w:rPr>
          <w:rFonts w:hint="eastAsia"/>
          <w:sz w:val="28"/>
          <w:szCs w:val="28"/>
        </w:rPr>
        <w:t>七、其他应予说明的事项。</w:t>
      </w:r>
    </w:p>
    <w:p>
      <w:pPr>
        <w:ind w:firstLine="560" w:firstLineChars="200"/>
        <w:rPr>
          <w:rFonts w:hint="eastAsia" w:eastAsiaTheme="minorEastAsia"/>
          <w:sz w:val="28"/>
          <w:szCs w:val="28"/>
          <w:lang w:val="en-US" w:eastAsia="zh-CN"/>
        </w:rPr>
      </w:pPr>
      <w:r>
        <w:rPr>
          <w:rFonts w:hint="eastAsia"/>
          <w:sz w:val="28"/>
          <w:szCs w:val="28"/>
          <w:lang w:val="en-US" w:eastAsia="zh-CN"/>
        </w:rPr>
        <w:t>无</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62F3A9"/>
    <w:multiLevelType w:val="singleLevel"/>
    <w:tmpl w:val="C562F3A9"/>
    <w:lvl w:ilvl="0" w:tentative="0">
      <w:start w:val="1"/>
      <w:numFmt w:val="chineseCounting"/>
      <w:suff w:val="nothing"/>
      <w:lvlText w:val="%1、"/>
      <w:lvlJc w:val="left"/>
      <w:rPr>
        <w:rFonts w:hint="eastAsia"/>
      </w:rPr>
    </w:lvl>
  </w:abstractNum>
  <w:abstractNum w:abstractNumId="1">
    <w:nsid w:val="E0619241"/>
    <w:multiLevelType w:val="singleLevel"/>
    <w:tmpl w:val="E0619241"/>
    <w:lvl w:ilvl="0" w:tentative="0">
      <w:start w:val="1"/>
      <w:numFmt w:val="decimal"/>
      <w:suff w:val="space"/>
      <w:lvlText w:val="%1."/>
      <w:lvlJc w:val="left"/>
    </w:lvl>
  </w:abstractNum>
  <w:abstractNum w:abstractNumId="2">
    <w:nsid w:val="FF8E4477"/>
    <w:multiLevelType w:val="singleLevel"/>
    <w:tmpl w:val="FF8E4477"/>
    <w:lvl w:ilvl="0" w:tentative="0">
      <w:start w:val="1"/>
      <w:numFmt w:val="decimal"/>
      <w:suff w:val="space"/>
      <w:lvlText w:val="%1."/>
      <w:lvlJc w:val="left"/>
    </w:lvl>
  </w:abstractNum>
  <w:abstractNum w:abstractNumId="3">
    <w:nsid w:val="3DA1324E"/>
    <w:multiLevelType w:val="singleLevel"/>
    <w:tmpl w:val="3DA1324E"/>
    <w:lvl w:ilvl="0" w:tentative="0">
      <w:start w:val="3"/>
      <w:numFmt w:val="decimal"/>
      <w:suff w:val="nothing"/>
      <w:lvlText w:val="（%1）"/>
      <w:lvlJc w:val="left"/>
    </w:lvl>
  </w:abstractNum>
  <w:abstractNum w:abstractNumId="4">
    <w:nsid w:val="52E59D21"/>
    <w:multiLevelType w:val="singleLevel"/>
    <w:tmpl w:val="52E59D21"/>
    <w:lvl w:ilvl="0" w:tentative="0">
      <w:start w:val="1"/>
      <w:numFmt w:val="decimal"/>
      <w:suff w:val="space"/>
      <w:lvlText w:val="[%1]"/>
      <w:lvlJc w:val="left"/>
    </w:lvl>
  </w:abstractNum>
  <w:abstractNum w:abstractNumId="5">
    <w:nsid w:val="5C109E93"/>
    <w:multiLevelType w:val="singleLevel"/>
    <w:tmpl w:val="5C109E93"/>
    <w:lvl w:ilvl="0" w:tentative="0">
      <w:start w:val="1"/>
      <w:numFmt w:val="decimal"/>
      <w:suff w:val="space"/>
      <w:lvlText w:val="%1."/>
      <w:lvlJc w:val="left"/>
    </w:lvl>
  </w:abstractNum>
  <w:num w:numId="1">
    <w:abstractNumId w:val="0"/>
  </w:num>
  <w:num w:numId="2">
    <w:abstractNumId w:val="5"/>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EzN2VkNzgzYmEzMmUzMzdiOTJjNWEyYThhZjA5OWMifQ=="/>
  </w:docVars>
  <w:rsids>
    <w:rsidRoot w:val="00190BBC"/>
    <w:rsid w:val="000B2A95"/>
    <w:rsid w:val="00190BBC"/>
    <w:rsid w:val="002E6552"/>
    <w:rsid w:val="002F65FC"/>
    <w:rsid w:val="004D4614"/>
    <w:rsid w:val="00533E8A"/>
    <w:rsid w:val="008D21BE"/>
    <w:rsid w:val="009B547F"/>
    <w:rsid w:val="00BC5056"/>
    <w:rsid w:val="02585992"/>
    <w:rsid w:val="0290762F"/>
    <w:rsid w:val="03561F63"/>
    <w:rsid w:val="03832704"/>
    <w:rsid w:val="046B484C"/>
    <w:rsid w:val="06DE6CB5"/>
    <w:rsid w:val="09AE1BB3"/>
    <w:rsid w:val="0B6342AB"/>
    <w:rsid w:val="0D6268BB"/>
    <w:rsid w:val="0E2E5B84"/>
    <w:rsid w:val="0E99414A"/>
    <w:rsid w:val="0F974313"/>
    <w:rsid w:val="0FB9666D"/>
    <w:rsid w:val="10F85C2F"/>
    <w:rsid w:val="126F4C28"/>
    <w:rsid w:val="135A696E"/>
    <w:rsid w:val="14D45EBD"/>
    <w:rsid w:val="153B54C6"/>
    <w:rsid w:val="15D872AC"/>
    <w:rsid w:val="16B72242"/>
    <w:rsid w:val="18621F44"/>
    <w:rsid w:val="197251E2"/>
    <w:rsid w:val="19EA0655"/>
    <w:rsid w:val="1A501019"/>
    <w:rsid w:val="1A68621B"/>
    <w:rsid w:val="1B244BF0"/>
    <w:rsid w:val="1B2527AF"/>
    <w:rsid w:val="1CFF6547"/>
    <w:rsid w:val="1F752E73"/>
    <w:rsid w:val="2069651B"/>
    <w:rsid w:val="218F49A2"/>
    <w:rsid w:val="26753A8A"/>
    <w:rsid w:val="27335740"/>
    <w:rsid w:val="28B367FE"/>
    <w:rsid w:val="2A37328A"/>
    <w:rsid w:val="2B5A7150"/>
    <w:rsid w:val="395A7BC6"/>
    <w:rsid w:val="3C6058EF"/>
    <w:rsid w:val="3C735DDE"/>
    <w:rsid w:val="3C9F5D7C"/>
    <w:rsid w:val="3D71601B"/>
    <w:rsid w:val="3D831B76"/>
    <w:rsid w:val="3E386417"/>
    <w:rsid w:val="3EEF3C97"/>
    <w:rsid w:val="42F85861"/>
    <w:rsid w:val="478922FC"/>
    <w:rsid w:val="4A420265"/>
    <w:rsid w:val="4B0930BE"/>
    <w:rsid w:val="4D3E1F69"/>
    <w:rsid w:val="4E3C685F"/>
    <w:rsid w:val="4E440484"/>
    <w:rsid w:val="4EB32766"/>
    <w:rsid w:val="53D47C52"/>
    <w:rsid w:val="54CA651D"/>
    <w:rsid w:val="586C6A57"/>
    <w:rsid w:val="5920101D"/>
    <w:rsid w:val="59AC5C55"/>
    <w:rsid w:val="5B6054A9"/>
    <w:rsid w:val="5FAA3C22"/>
    <w:rsid w:val="619C6621"/>
    <w:rsid w:val="61E45C36"/>
    <w:rsid w:val="65BB32AA"/>
    <w:rsid w:val="709D6D26"/>
    <w:rsid w:val="71A47B2A"/>
    <w:rsid w:val="73B573E1"/>
    <w:rsid w:val="750B4C37"/>
    <w:rsid w:val="77BA3ED8"/>
    <w:rsid w:val="78970512"/>
    <w:rsid w:val="7911481F"/>
    <w:rsid w:val="79FB4470"/>
    <w:rsid w:val="7A0C6F59"/>
    <w:rsid w:val="7D183E67"/>
    <w:rsid w:val="7EA80B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heme="minorBidi"/>
      <w:kern w:val="2"/>
      <w:sz w:val="24"/>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pPr>
      <w:adjustRightInd/>
      <w:snapToGrid/>
      <w:spacing w:line="240" w:lineRule="auto"/>
      <w:ind w:firstLine="0" w:firstLineChars="0"/>
    </w:pPr>
    <w:rPr>
      <w:rFonts w:ascii="宋体" w:hAnsi="Courier New" w:cs="Courier New"/>
      <w:sz w:val="21"/>
      <w:szCs w:val="21"/>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tiff"/><Relationship Id="rId8" Type="http://schemas.openxmlformats.org/officeDocument/2006/relationships/image" Target="media/image1.emf"/><Relationship Id="rId7" Type="http://schemas.openxmlformats.org/officeDocument/2006/relationships/image" Target="media/image2.tiff"/><Relationship Id="rId6" Type="http://schemas.openxmlformats.org/officeDocument/2006/relationships/image" Target="media/image1.tif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emf"/><Relationship Id="rId11" Type="http://schemas.openxmlformats.org/officeDocument/2006/relationships/image" Target="media/image3.emf"/><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1865</Words>
  <Characters>1992</Characters>
  <Lines>2</Lines>
  <Paragraphs>1</Paragraphs>
  <TotalTime>4</TotalTime>
  <ScaleCrop>false</ScaleCrop>
  <LinksUpToDate>false</LinksUpToDate>
  <CharactersWithSpaces>2073</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2016-05-03T09:26:00Z</dcterms:created>
  <dc:creator>wang</dc:creator>
  <cp:lastModifiedBy>段璐</cp:lastModifiedBy>
  <dcterms:modified xsi:type="dcterms:W3CDTF">2024-08-02T09:19:49Z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0FEB2C7FB79E45CE92BC022BBB9999E6</vt:lpwstr>
  </property>
</Properties>
</file>