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CDCB4D">
      <w:pPr>
        <w:jc w:val="center"/>
        <w:rPr>
          <w:rFonts w:hint="eastAsia" w:ascii="黑体" w:hAnsi="宋体" w:eastAsia="黑体"/>
          <w:b/>
          <w:sz w:val="44"/>
          <w:szCs w:val="44"/>
        </w:rPr>
      </w:pPr>
      <w:r>
        <w:rPr>
          <w:rFonts w:hint="eastAsia" w:ascii="黑体" w:hAnsi="宋体" w:eastAsia="黑体"/>
          <w:b/>
          <w:sz w:val="44"/>
          <w:szCs w:val="44"/>
        </w:rPr>
        <w:t>刚架—斜压杆模型在密肋复合墙板</w:t>
      </w:r>
    </w:p>
    <w:p w14:paraId="2487BBF7">
      <w:pPr>
        <w:jc w:val="center"/>
        <w:rPr>
          <w:rFonts w:hint="eastAsia" w:ascii="黑体" w:hAnsi="宋体" w:eastAsia="黑体"/>
          <w:b/>
          <w:sz w:val="44"/>
          <w:szCs w:val="44"/>
        </w:rPr>
      </w:pPr>
      <w:r>
        <w:rPr>
          <w:rFonts w:hint="eastAsia" w:ascii="黑体" w:hAnsi="宋体" w:eastAsia="黑体"/>
          <w:b/>
          <w:sz w:val="44"/>
          <w:szCs w:val="44"/>
        </w:rPr>
        <w:t>力学分析中的应用（黑二加粗）</w:t>
      </w:r>
    </w:p>
    <w:p w14:paraId="00870A1A">
      <w:pPr>
        <w:pStyle w:val="5"/>
        <w:jc w:val="center"/>
        <w:outlineLvl w:val="0"/>
        <w:rPr>
          <w:rFonts w:hint="eastAsia" w:ascii="楷体_GB2312" w:eastAsia="楷体_GB2312"/>
          <w:sz w:val="28"/>
          <w:vertAlign w:val="superscript"/>
        </w:rPr>
      </w:pPr>
      <w:r>
        <w:rPr>
          <w:rFonts w:hint="eastAsia" w:ascii="楷体_GB2312" w:hAnsi="Times New Roman" w:eastAsia="楷体_GB2312"/>
          <w:sz w:val="28"/>
        </w:rPr>
        <w:t xml:space="preserve">张 </w:t>
      </w:r>
      <w:r>
        <w:rPr>
          <w:rFonts w:ascii="楷体_GB2312" w:hAnsi="Times New Roman" w:eastAsia="楷体_GB2312"/>
          <w:sz w:val="28"/>
        </w:rPr>
        <w:t xml:space="preserve"> </w:t>
      </w:r>
      <w:r>
        <w:rPr>
          <w:rFonts w:hint="eastAsia" w:ascii="楷体_GB2312" w:hAnsi="Times New Roman" w:eastAsia="楷体_GB2312"/>
          <w:sz w:val="28"/>
        </w:rPr>
        <w:t>三</w:t>
      </w:r>
      <w:r>
        <w:rPr>
          <w:rFonts w:hint="eastAsia" w:ascii="楷体_GB2312" w:hAnsi="Times New Roman" w:eastAsia="楷体_GB2312"/>
          <w:sz w:val="28"/>
          <w:vertAlign w:val="superscript"/>
        </w:rPr>
        <w:t>1</w:t>
      </w:r>
      <w:r>
        <w:rPr>
          <w:rFonts w:hint="eastAsia" w:ascii="楷体_GB2312" w:hAnsi="Times New Roman" w:eastAsia="楷体_GB2312"/>
          <w:sz w:val="28"/>
        </w:rPr>
        <w:t xml:space="preserve">      李小四</w:t>
      </w:r>
      <w:r>
        <w:rPr>
          <w:rFonts w:hint="eastAsia" w:ascii="楷体_GB2312" w:hAnsi="Times New Roman" w:eastAsia="楷体_GB2312"/>
          <w:sz w:val="28"/>
          <w:vertAlign w:val="superscript"/>
        </w:rPr>
        <w:t>2</w:t>
      </w:r>
      <w:r>
        <w:rPr>
          <w:rFonts w:hint="eastAsia" w:ascii="楷体_GB2312" w:eastAsia="楷体_GB2312"/>
          <w:sz w:val="28"/>
        </w:rPr>
        <w:t xml:space="preserve"> （楷四）</w:t>
      </w:r>
    </w:p>
    <w:p w14:paraId="6F03C27F">
      <w:pPr>
        <w:pStyle w:val="5"/>
        <w:jc w:val="center"/>
        <w:outlineLvl w:val="0"/>
        <w:rPr>
          <w:rFonts w:hint="eastAsia" w:hAnsi="宋体"/>
          <w:szCs w:val="21"/>
        </w:rPr>
      </w:pPr>
      <w:r>
        <w:rPr>
          <w:rFonts w:hint="eastAsia" w:hAnsi="宋体"/>
          <w:szCs w:val="21"/>
        </w:rPr>
        <w:t>(1.X</w:t>
      </w:r>
      <w:r>
        <w:rPr>
          <w:rFonts w:hAnsi="宋体"/>
          <w:szCs w:val="21"/>
        </w:rPr>
        <w:t>XX</w:t>
      </w:r>
      <w:r>
        <w:rPr>
          <w:rFonts w:hint="eastAsia" w:hAnsi="宋体"/>
          <w:szCs w:val="21"/>
        </w:rPr>
        <w:t>大学，江苏南京210096；2.X</w:t>
      </w:r>
      <w:r>
        <w:rPr>
          <w:rFonts w:hAnsi="宋体"/>
          <w:szCs w:val="21"/>
        </w:rPr>
        <w:t>XX</w:t>
      </w:r>
      <w:r>
        <w:rPr>
          <w:rFonts w:hint="eastAsia" w:hAnsi="宋体"/>
          <w:szCs w:val="21"/>
        </w:rPr>
        <w:t>研究院，北京100013)</w:t>
      </w:r>
      <w:r>
        <w:rPr>
          <w:rFonts w:hint="eastAsia"/>
          <w:szCs w:val="21"/>
        </w:rPr>
        <w:t xml:space="preserve"> （宋五）</w:t>
      </w:r>
    </w:p>
    <w:p w14:paraId="254965DC">
      <w:pPr>
        <w:spacing w:before="156" w:beforeLines="50"/>
        <w:rPr>
          <w:rFonts w:hint="eastAsia" w:ascii="宋体" w:hAnsi="宋体"/>
          <w:szCs w:val="21"/>
        </w:rPr>
      </w:pPr>
      <w:r>
        <w:rPr>
          <w:rFonts w:hint="eastAsia" w:ascii="黑体" w:hAnsi="宋体" w:eastAsia="黑体"/>
          <w:b/>
          <w:szCs w:val="21"/>
        </w:rPr>
        <w:t>摘要：</w:t>
      </w:r>
      <w:r>
        <w:rPr>
          <w:rFonts w:hint="eastAsia" w:ascii="宋体" w:hAnsi="宋体"/>
          <w:szCs w:val="21"/>
        </w:rPr>
        <w:t>通过对14榀不同形式的密肋复合墙板试件进行水平低周反复加载、水平单调加载以及竖向单调加载试验，研究了墙板的受力特点与破坏模式以及墙板中肋梁、肋柱与填充砌块的共同工作性</w:t>
      </w:r>
      <w:bookmarkStart w:id="0" w:name="_GoBack"/>
      <w:bookmarkEnd w:id="0"/>
      <w:r>
        <w:rPr>
          <w:rFonts w:hint="eastAsia" w:ascii="宋体" w:hAnsi="宋体"/>
          <w:szCs w:val="21"/>
        </w:rPr>
        <w:t>能。应用刚架—斜压杆简化计算模型对影响密肋复合墙板受力特点与破坏模式的主要因素进行了研究。不同算例的分析结果表明复合墙板的剪跨比、轴压比与框格的划分形式对其受力特点具有较显著的影响；外框架、肋柱和肋梁以及填充砌块对于复合墙板的受力性能分别起不同作用。</w:t>
      </w:r>
    </w:p>
    <w:p w14:paraId="3C069912">
      <w:pPr>
        <w:rPr>
          <w:rFonts w:hint="eastAsia" w:ascii="宋体" w:hAnsi="宋体"/>
          <w:szCs w:val="21"/>
        </w:rPr>
      </w:pPr>
      <w:r>
        <w:rPr>
          <w:rFonts w:hint="eastAsia" w:ascii="黑体" w:hAnsi="宋体" w:eastAsia="黑体"/>
          <w:b/>
          <w:szCs w:val="21"/>
        </w:rPr>
        <w:t>关键词：</w:t>
      </w:r>
      <w:r>
        <w:rPr>
          <w:rFonts w:hint="eastAsia" w:ascii="宋体" w:hAnsi="宋体"/>
          <w:szCs w:val="21"/>
        </w:rPr>
        <w:t>密肋复合墙板</w:t>
      </w:r>
      <w:r>
        <w:rPr>
          <w:rFonts w:hint="eastAsia" w:hAnsi="宋体"/>
          <w:szCs w:val="21"/>
        </w:rPr>
        <w:t>；</w:t>
      </w:r>
      <w:r>
        <w:rPr>
          <w:rFonts w:hint="eastAsia" w:ascii="宋体" w:hAnsi="宋体"/>
          <w:szCs w:val="21"/>
        </w:rPr>
        <w:t>简化计算模型</w:t>
      </w:r>
      <w:r>
        <w:rPr>
          <w:rFonts w:hint="eastAsia" w:hAnsi="宋体"/>
          <w:szCs w:val="21"/>
        </w:rPr>
        <w:t>；</w:t>
      </w:r>
      <w:r>
        <w:rPr>
          <w:rFonts w:hint="eastAsia" w:ascii="宋体" w:hAnsi="宋体"/>
          <w:szCs w:val="21"/>
        </w:rPr>
        <w:t>刚架—斜压杆模型</w:t>
      </w:r>
      <w:r>
        <w:rPr>
          <w:rFonts w:hint="eastAsia"/>
          <w:szCs w:val="21"/>
        </w:rPr>
        <w:t>（宋五）</w:t>
      </w:r>
    </w:p>
    <w:p w14:paraId="10B02FD7">
      <w:pPr>
        <w:pStyle w:val="3"/>
        <w:spacing w:before="156" w:beforeLines="50" w:after="156" w:afterLines="50"/>
        <w:jc w:val="center"/>
        <w:rPr>
          <w:rFonts w:hint="eastAsia"/>
          <w:b/>
          <w:sz w:val="28"/>
          <w:szCs w:val="28"/>
        </w:rPr>
      </w:pPr>
      <w:r>
        <w:rPr>
          <w:rFonts w:hint="eastAsia"/>
          <w:b/>
          <w:sz w:val="28"/>
          <w:szCs w:val="28"/>
        </w:rPr>
        <w:t>A</w:t>
      </w:r>
      <w:r>
        <w:rPr>
          <w:b/>
          <w:sz w:val="28"/>
          <w:szCs w:val="28"/>
        </w:rPr>
        <w:t>pplication of the simplified mathematical model of rigid frame with diagonal strut to multi-ribbed wall slab</w:t>
      </w:r>
      <w:r>
        <w:rPr>
          <w:rFonts w:hint="eastAsia"/>
          <w:b/>
          <w:sz w:val="28"/>
          <w:szCs w:val="28"/>
        </w:rPr>
        <w:t xml:space="preserve"> (times new roman四加粗)</w:t>
      </w:r>
    </w:p>
    <w:p w14:paraId="50C9A219">
      <w:pPr>
        <w:pStyle w:val="3"/>
        <w:spacing w:after="0"/>
        <w:jc w:val="center"/>
        <w:rPr>
          <w:rFonts w:eastAsia="黑体"/>
          <w:sz w:val="24"/>
        </w:rPr>
      </w:pPr>
      <w:r>
        <w:rPr>
          <w:rFonts w:eastAsia="黑体"/>
          <w:i/>
          <w:iCs/>
          <w:sz w:val="24"/>
        </w:rPr>
        <w:t>Zhang San</w:t>
      </w:r>
      <w:r>
        <w:rPr>
          <w:rFonts w:eastAsia="黑体"/>
          <w:iCs/>
          <w:sz w:val="24"/>
          <w:vertAlign w:val="superscript"/>
        </w:rPr>
        <w:t>1</w:t>
      </w:r>
      <w:r>
        <w:rPr>
          <w:rFonts w:eastAsia="黑体"/>
          <w:i/>
          <w:iCs/>
          <w:sz w:val="24"/>
        </w:rPr>
        <w:t xml:space="preserve">   </w:t>
      </w:r>
      <w:r>
        <w:rPr>
          <w:rFonts w:hint="eastAsia" w:eastAsia="黑体"/>
          <w:i/>
          <w:iCs/>
          <w:sz w:val="24"/>
        </w:rPr>
        <w:t>Li</w:t>
      </w:r>
      <w:r>
        <w:rPr>
          <w:rFonts w:eastAsia="黑体"/>
          <w:i/>
          <w:iCs/>
          <w:sz w:val="24"/>
        </w:rPr>
        <w:t xml:space="preserve"> Xiaosi</w:t>
      </w:r>
      <w:r>
        <w:rPr>
          <w:rFonts w:eastAsia="黑体"/>
          <w:iCs/>
          <w:sz w:val="24"/>
          <w:vertAlign w:val="superscript"/>
        </w:rPr>
        <w:t>2</w:t>
      </w:r>
      <w:r>
        <w:rPr>
          <w:rFonts w:eastAsia="黑体"/>
          <w:i/>
          <w:iCs/>
          <w:sz w:val="24"/>
          <w:vertAlign w:val="superscript"/>
        </w:rPr>
        <w:t xml:space="preserve"> </w:t>
      </w:r>
      <w:r>
        <w:rPr>
          <w:rFonts w:hint="eastAsia" w:eastAsia="黑体"/>
          <w:sz w:val="24"/>
        </w:rPr>
        <w:t>(times new roman小四号)</w:t>
      </w:r>
    </w:p>
    <w:p w14:paraId="1A26E6F4">
      <w:pPr>
        <w:pStyle w:val="3"/>
        <w:spacing w:after="0"/>
        <w:jc w:val="center"/>
        <w:rPr>
          <w:rFonts w:eastAsia="黑体"/>
          <w:szCs w:val="21"/>
        </w:rPr>
      </w:pPr>
      <w:r>
        <w:rPr>
          <w:rFonts w:eastAsia="黑体"/>
          <w:szCs w:val="21"/>
        </w:rPr>
        <w:t xml:space="preserve">(1. </w:t>
      </w:r>
      <w:r>
        <w:rPr>
          <w:rFonts w:hint="eastAsia" w:eastAsia="黑体"/>
          <w:szCs w:val="21"/>
        </w:rPr>
        <w:t>xx</w:t>
      </w:r>
      <w:r>
        <w:rPr>
          <w:rFonts w:eastAsia="黑体"/>
          <w:szCs w:val="21"/>
        </w:rPr>
        <w:t>x University, Nanjing 210096, China；2. Research Institute of xxx, Beijing100013, China)</w:t>
      </w:r>
    </w:p>
    <w:p w14:paraId="3BF02A18">
      <w:pPr>
        <w:pStyle w:val="3"/>
        <w:spacing w:before="156" w:beforeLines="50" w:after="0"/>
        <w:rPr>
          <w:rFonts w:hint="eastAsia"/>
          <w:szCs w:val="21"/>
        </w:rPr>
      </w:pPr>
      <w:r>
        <w:rPr>
          <w:b/>
          <w:szCs w:val="21"/>
        </w:rPr>
        <w:t>Abstract</w:t>
      </w:r>
      <w:r>
        <w:rPr>
          <w:rFonts w:hint="eastAsia"/>
          <w:b/>
          <w:szCs w:val="21"/>
        </w:rPr>
        <w:t xml:space="preserve"> :</w:t>
      </w:r>
      <w:r>
        <w:rPr>
          <w:rFonts w:hint="eastAsia"/>
          <w:szCs w:val="21"/>
        </w:rPr>
        <w:t xml:space="preserve"> 14 specimens of the multi-ribbed wall slab were tested under low-frequency cyclic lateral loading, horizontal and </w:t>
      </w:r>
      <w:r>
        <w:rPr>
          <w:szCs w:val="21"/>
        </w:rPr>
        <w:t>vertical</w:t>
      </w:r>
      <w:r>
        <w:rPr>
          <w:rFonts w:hint="eastAsia"/>
          <w:szCs w:val="21"/>
        </w:rPr>
        <w:t xml:space="preserve"> </w:t>
      </w:r>
      <w:r>
        <w:rPr>
          <w:szCs w:val="21"/>
        </w:rPr>
        <w:t>monotonously</w:t>
      </w:r>
      <w:r>
        <w:rPr>
          <w:rFonts w:hint="eastAsia"/>
          <w:szCs w:val="21"/>
        </w:rPr>
        <w:t xml:space="preserve"> increased loading. The m</w:t>
      </w:r>
      <w:r>
        <w:rPr>
          <w:szCs w:val="21"/>
        </w:rPr>
        <w:t>echanical</w:t>
      </w:r>
      <w:r>
        <w:rPr>
          <w:rFonts w:hint="eastAsia"/>
          <w:szCs w:val="21"/>
        </w:rPr>
        <w:t xml:space="preserve"> properties and failure modes of the wall slab and the interactive behavior between the infilling coal ash blocks and the reinforced ribs were analyzed based on the experimental study. The simplified mathematical model of rigid frame with d</w:t>
      </w:r>
      <w:r>
        <w:rPr>
          <w:szCs w:val="21"/>
        </w:rPr>
        <w:t>iagonal</w:t>
      </w:r>
      <w:r>
        <w:rPr>
          <w:rFonts w:hint="eastAsia"/>
          <w:szCs w:val="21"/>
        </w:rPr>
        <w:t xml:space="preserve"> strut</w:t>
      </w:r>
      <w:r>
        <w:rPr>
          <w:szCs w:val="21"/>
        </w:rPr>
        <w:t xml:space="preserve"> </w:t>
      </w:r>
      <w:r>
        <w:rPr>
          <w:rFonts w:hint="eastAsia"/>
          <w:szCs w:val="21"/>
        </w:rPr>
        <w:t xml:space="preserve">was </w:t>
      </w:r>
      <w:r>
        <w:rPr>
          <w:szCs w:val="21"/>
        </w:rPr>
        <w:t>employ</w:t>
      </w:r>
      <w:r>
        <w:rPr>
          <w:rFonts w:hint="eastAsia"/>
          <w:szCs w:val="21"/>
        </w:rPr>
        <w:t>ed to analyze the main factors which affect the m</w:t>
      </w:r>
      <w:r>
        <w:rPr>
          <w:szCs w:val="21"/>
        </w:rPr>
        <w:t>echanical</w:t>
      </w:r>
      <w:r>
        <w:rPr>
          <w:rFonts w:hint="eastAsia"/>
          <w:szCs w:val="21"/>
        </w:rPr>
        <w:t xml:space="preserve"> properties and failure modes of the multi-ribbed wall slab. The results show that shear span ratio, axial compression ratio and the </w:t>
      </w:r>
      <w:r>
        <w:rPr>
          <w:szCs w:val="21"/>
        </w:rPr>
        <w:t>arrangement</w:t>
      </w:r>
      <w:r>
        <w:rPr>
          <w:rFonts w:hint="eastAsia"/>
          <w:szCs w:val="21"/>
        </w:rPr>
        <w:t xml:space="preserve"> of the reinforced ribs have </w:t>
      </w:r>
      <w:r>
        <w:rPr>
          <w:szCs w:val="21"/>
        </w:rPr>
        <w:t>remarkable</w:t>
      </w:r>
      <w:r>
        <w:rPr>
          <w:rFonts w:hint="eastAsia"/>
          <w:szCs w:val="21"/>
        </w:rPr>
        <w:t xml:space="preserve"> </w:t>
      </w:r>
      <w:r>
        <w:rPr>
          <w:szCs w:val="21"/>
        </w:rPr>
        <w:t>effect on</w:t>
      </w:r>
      <w:r>
        <w:rPr>
          <w:rFonts w:hint="eastAsia"/>
          <w:szCs w:val="21"/>
        </w:rPr>
        <w:t xml:space="preserve"> the wall slab</w:t>
      </w:r>
      <w:r>
        <w:rPr>
          <w:szCs w:val="21"/>
        </w:rPr>
        <w:t>’</w:t>
      </w:r>
      <w:r>
        <w:rPr>
          <w:rFonts w:hint="eastAsia"/>
          <w:szCs w:val="21"/>
        </w:rPr>
        <w:t>s m</w:t>
      </w:r>
      <w:r>
        <w:rPr>
          <w:szCs w:val="21"/>
        </w:rPr>
        <w:t>echanical</w:t>
      </w:r>
      <w:r>
        <w:rPr>
          <w:rFonts w:hint="eastAsia"/>
          <w:szCs w:val="21"/>
        </w:rPr>
        <w:t xml:space="preserve"> properties; and the outer frame, the reinforced ribs and the infilling coal ash blocks have different effect on the m</w:t>
      </w:r>
      <w:r>
        <w:rPr>
          <w:szCs w:val="21"/>
        </w:rPr>
        <w:t>echanical</w:t>
      </w:r>
      <w:r>
        <w:rPr>
          <w:rFonts w:hint="eastAsia"/>
          <w:szCs w:val="21"/>
        </w:rPr>
        <w:t xml:space="preserve"> performance of the wall slab respectively.</w:t>
      </w:r>
      <w:r>
        <w:rPr>
          <w:rFonts w:hint="eastAsia"/>
          <w:b/>
          <w:szCs w:val="21"/>
        </w:rPr>
        <w:t xml:space="preserve"> </w:t>
      </w:r>
      <w:r>
        <w:rPr>
          <w:rFonts w:hint="eastAsia"/>
          <w:szCs w:val="21"/>
        </w:rPr>
        <w:t>(times new roman五号)</w:t>
      </w:r>
    </w:p>
    <w:p w14:paraId="6660A145">
      <w:pPr>
        <w:rPr>
          <w:rFonts w:hint="eastAsia"/>
          <w:szCs w:val="21"/>
        </w:rPr>
      </w:pPr>
      <w:r>
        <w:rPr>
          <w:b/>
          <w:szCs w:val="21"/>
        </w:rPr>
        <w:t>Keywords</w:t>
      </w:r>
      <w:r>
        <w:rPr>
          <w:rFonts w:hint="eastAsia"/>
          <w:b/>
          <w:szCs w:val="21"/>
        </w:rPr>
        <w:t xml:space="preserve"> : </w:t>
      </w:r>
      <w:r>
        <w:rPr>
          <w:rFonts w:hint="eastAsia"/>
          <w:szCs w:val="21"/>
        </w:rPr>
        <w:t>multi-ribbed wall slab</w:t>
      </w:r>
      <w:r>
        <w:rPr>
          <w:rFonts w:hint="eastAsia" w:hAnsi="宋体"/>
          <w:szCs w:val="21"/>
        </w:rPr>
        <w:t>；</w:t>
      </w:r>
      <w:r>
        <w:rPr>
          <w:rFonts w:hint="eastAsia"/>
          <w:szCs w:val="21"/>
        </w:rPr>
        <w:t>simplified mathematical model</w:t>
      </w:r>
      <w:r>
        <w:rPr>
          <w:rFonts w:hint="eastAsia" w:hAnsi="宋体"/>
          <w:szCs w:val="21"/>
        </w:rPr>
        <w:t>；</w:t>
      </w:r>
      <w:r>
        <w:rPr>
          <w:rFonts w:hint="eastAsia"/>
          <w:szCs w:val="21"/>
        </w:rPr>
        <w:t>model of rigid frame with d</w:t>
      </w:r>
      <w:r>
        <w:rPr>
          <w:szCs w:val="21"/>
        </w:rPr>
        <w:t>iagonal</w:t>
      </w:r>
      <w:r>
        <w:rPr>
          <w:rFonts w:hint="eastAsia"/>
          <w:szCs w:val="21"/>
        </w:rPr>
        <w:t xml:space="preserve"> strut （</w:t>
      </w:r>
      <w:r>
        <w:rPr>
          <w:rFonts w:hint="eastAsia" w:eastAsia="黑体"/>
          <w:sz w:val="24"/>
        </w:rPr>
        <w:t>times new roman五号）</w:t>
      </w:r>
    </w:p>
    <w:p w14:paraId="6DEF6B7A">
      <w:pPr>
        <w:ind w:left="420" w:hanging="420"/>
        <w:jc w:val="left"/>
        <w:rPr>
          <w:rFonts w:eastAsia="黑体"/>
          <w:sz w:val="18"/>
        </w:rPr>
        <w:sectPr>
          <w:headerReference r:id="rId3" w:type="default"/>
          <w:headerReference r:id="rId4" w:type="even"/>
          <w:type w:val="continuous"/>
          <w:pgSz w:w="11906" w:h="16838"/>
          <w:pgMar w:top="1440" w:right="1080" w:bottom="1440" w:left="1080" w:header="851" w:footer="992" w:gutter="0"/>
          <w:cols w:space="425" w:num="1"/>
          <w:docGrid w:type="lines" w:linePitch="312" w:charSpace="-3337"/>
        </w:sectPr>
      </w:pPr>
    </w:p>
    <w:p w14:paraId="4F4F4FF2">
      <w:pPr>
        <w:jc w:val="left"/>
        <w:rPr>
          <w:rFonts w:hint="eastAsia"/>
          <w:sz w:val="18"/>
          <w:szCs w:val="18"/>
        </w:rPr>
        <w:sectPr>
          <w:type w:val="continuous"/>
          <w:pgSz w:w="11906" w:h="16838"/>
          <w:pgMar w:top="1440" w:right="1080" w:bottom="1440" w:left="1080" w:header="851" w:footer="992" w:gutter="0"/>
          <w:cols w:space="425" w:num="1"/>
          <w:docGrid w:type="lines" w:linePitch="312" w:charSpace="-3337"/>
        </w:sectPr>
      </w:pPr>
    </w:p>
    <w:p w14:paraId="7A6F9670">
      <w:pPr>
        <w:jc w:val="left"/>
        <w:rPr>
          <w:rFonts w:hint="eastAsia"/>
          <w:sz w:val="18"/>
          <w:szCs w:val="18"/>
        </w:rPr>
      </w:pPr>
    </w:p>
    <w:p w14:paraId="793007C6">
      <w:pPr>
        <w:jc w:val="left"/>
        <w:rPr>
          <w:rFonts w:hint="eastAsia"/>
          <w:sz w:val="18"/>
          <w:szCs w:val="18"/>
        </w:rPr>
      </w:pPr>
    </w:p>
    <w:p w14:paraId="2F520F14">
      <w:pPr>
        <w:jc w:val="left"/>
        <w:rPr>
          <w:rFonts w:hint="eastAsia"/>
          <w:sz w:val="18"/>
          <w:szCs w:val="18"/>
        </w:rPr>
      </w:pPr>
    </w:p>
    <w:p w14:paraId="6EED8FD5">
      <w:pPr>
        <w:jc w:val="left"/>
        <w:rPr>
          <w:rFonts w:hint="eastAsia"/>
          <w:sz w:val="18"/>
          <w:szCs w:val="18"/>
        </w:rPr>
      </w:pPr>
    </w:p>
    <w:p w14:paraId="030A5F12">
      <w:pPr>
        <w:jc w:val="left"/>
        <w:rPr>
          <w:rFonts w:hint="eastAsia"/>
          <w:sz w:val="18"/>
          <w:szCs w:val="18"/>
        </w:rPr>
      </w:pPr>
    </w:p>
    <w:p w14:paraId="21951D07">
      <w:pPr>
        <w:jc w:val="left"/>
        <w:rPr>
          <w:rFonts w:hint="eastAsia"/>
          <w:sz w:val="18"/>
          <w:szCs w:val="18"/>
        </w:rPr>
      </w:pPr>
    </w:p>
    <w:p w14:paraId="160BD91E">
      <w:pPr>
        <w:jc w:val="left"/>
        <w:rPr>
          <w:rFonts w:hint="eastAsia"/>
          <w:sz w:val="18"/>
          <w:szCs w:val="18"/>
        </w:rPr>
      </w:pPr>
    </w:p>
    <w:p w14:paraId="7445F080">
      <w:pPr>
        <w:jc w:val="left"/>
        <w:rPr>
          <w:rFonts w:hint="eastAsia"/>
          <w:sz w:val="18"/>
          <w:szCs w:val="18"/>
        </w:rPr>
      </w:pPr>
    </w:p>
    <w:p w14:paraId="05030B20">
      <w:pPr>
        <w:jc w:val="left"/>
        <w:rPr>
          <w:rFonts w:hint="eastAsia"/>
          <w:sz w:val="18"/>
          <w:szCs w:val="18"/>
        </w:rPr>
      </w:pPr>
    </w:p>
    <w:p w14:paraId="5179887D">
      <w:pPr>
        <w:jc w:val="left"/>
        <w:rPr>
          <w:rFonts w:hint="eastAsia"/>
          <w:sz w:val="18"/>
          <w:szCs w:val="18"/>
        </w:rPr>
      </w:pPr>
    </w:p>
    <w:p w14:paraId="4137BA53">
      <w:pPr>
        <w:jc w:val="left"/>
        <w:rPr>
          <w:rFonts w:hint="eastAsia"/>
          <w:sz w:val="18"/>
          <w:szCs w:val="18"/>
        </w:rPr>
      </w:pPr>
    </w:p>
    <w:sectPr>
      <w:type w:val="continuous"/>
      <w:pgSz w:w="11906" w:h="16838"/>
      <w:pgMar w:top="1440" w:right="1077" w:bottom="1440" w:left="1077" w:header="851" w:footer="992" w:gutter="0"/>
      <w:cols w:space="420" w:num="1"/>
      <w:docGrid w:type="lines" w:linePitch="312" w:charSpace="-333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C03AD">
    <w:pPr>
      <w:pStyle w:val="9"/>
      <w:jc w:val="right"/>
      <w:rPr>
        <w:rFonts w:hint="eastAsia" w:eastAsia="宋体"/>
        <w:lang w:eastAsia="zh-CN"/>
      </w:rPr>
    </w:pPr>
    <w:r>
      <w:rPr>
        <w:sz w:val="21"/>
        <w:szCs w:val="21"/>
      </w:rPr>
      <w:t>第十</w:t>
    </w:r>
    <w:r>
      <w:rPr>
        <w:rFonts w:hint="eastAsia"/>
        <w:sz w:val="21"/>
        <w:szCs w:val="21"/>
        <w:lang w:val="en-US" w:eastAsia="zh-CN"/>
      </w:rPr>
      <w:t>五</w:t>
    </w:r>
    <w:r>
      <w:rPr>
        <w:sz w:val="21"/>
        <w:szCs w:val="21"/>
      </w:rPr>
      <w:t>届全国随机振动理论与应用学术会议暨第</w:t>
    </w:r>
    <w:r>
      <w:rPr>
        <w:rFonts w:hint="eastAsia"/>
        <w:sz w:val="21"/>
        <w:szCs w:val="21"/>
      </w:rPr>
      <w:t>十</w:t>
    </w:r>
    <w:r>
      <w:rPr>
        <w:rFonts w:hint="eastAsia"/>
        <w:sz w:val="21"/>
        <w:szCs w:val="21"/>
        <w:lang w:val="en-US" w:eastAsia="zh-CN"/>
      </w:rPr>
      <w:t>五</w:t>
    </w:r>
    <w:r>
      <w:rPr>
        <w:sz w:val="21"/>
        <w:szCs w:val="21"/>
      </w:rPr>
      <w:t>届全国随机动力学学术会议</w:t>
    </w:r>
    <w:r>
      <w:rPr>
        <w:rFonts w:hint="eastAsia"/>
        <w:sz w:val="21"/>
        <w:szCs w:val="21"/>
      </w:rPr>
      <w:t>-20</w:t>
    </w:r>
    <w:r>
      <w:rPr>
        <w:sz w:val="21"/>
        <w:szCs w:val="21"/>
      </w:rPr>
      <w:t>2</w:t>
    </w:r>
    <w:r>
      <w:rPr>
        <w:rFonts w:hint="eastAsia"/>
        <w:sz w:val="21"/>
        <w:szCs w:val="21"/>
        <w:lang w:val="en-US" w:eastAsia="zh-CN"/>
      </w:rPr>
      <w:t>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40ED2">
    <w:pPr>
      <w:pStyle w:val="9"/>
      <w:jc w:val="right"/>
    </w:pPr>
    <w:r>
      <w:t>The 12th National Conference on Theory and Application of Random Vibration</w:t>
    </w:r>
  </w:p>
  <w:p w14:paraId="7621EB4C">
    <w:pPr>
      <w:pStyle w:val="9"/>
      <w:jc w:val="right"/>
    </w:pPr>
    <w:r>
      <w:t>The 9th National Conference on Stochastic Dynamics of China</w:t>
    </w:r>
    <w:r>
      <w:rPr>
        <w:rFonts w:hint="eastAsia"/>
      </w:rPr>
      <w:t>-2018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97"/>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897"/>
    <w:rsid w:val="00000E8F"/>
    <w:rsid w:val="000250E3"/>
    <w:rsid w:val="000332D9"/>
    <w:rsid w:val="0006183E"/>
    <w:rsid w:val="00067391"/>
    <w:rsid w:val="000720D8"/>
    <w:rsid w:val="00080CFD"/>
    <w:rsid w:val="000B09AB"/>
    <w:rsid w:val="000B27A6"/>
    <w:rsid w:val="000C288F"/>
    <w:rsid w:val="000E0304"/>
    <w:rsid w:val="00126C76"/>
    <w:rsid w:val="001313A1"/>
    <w:rsid w:val="00131C6C"/>
    <w:rsid w:val="00134C54"/>
    <w:rsid w:val="00175A04"/>
    <w:rsid w:val="001A6B8A"/>
    <w:rsid w:val="001B5553"/>
    <w:rsid w:val="001C7BED"/>
    <w:rsid w:val="001D6A16"/>
    <w:rsid w:val="001F2305"/>
    <w:rsid w:val="001F594F"/>
    <w:rsid w:val="00207E52"/>
    <w:rsid w:val="00210C98"/>
    <w:rsid w:val="002142B7"/>
    <w:rsid w:val="00227FB8"/>
    <w:rsid w:val="00236B63"/>
    <w:rsid w:val="002B1ADA"/>
    <w:rsid w:val="002B3458"/>
    <w:rsid w:val="002E02C3"/>
    <w:rsid w:val="002E2514"/>
    <w:rsid w:val="002E4834"/>
    <w:rsid w:val="002F6DFE"/>
    <w:rsid w:val="00307918"/>
    <w:rsid w:val="00322050"/>
    <w:rsid w:val="003310FF"/>
    <w:rsid w:val="00331B3F"/>
    <w:rsid w:val="003375FD"/>
    <w:rsid w:val="003541FC"/>
    <w:rsid w:val="003624AD"/>
    <w:rsid w:val="00367555"/>
    <w:rsid w:val="0037569D"/>
    <w:rsid w:val="00382DC6"/>
    <w:rsid w:val="003A3756"/>
    <w:rsid w:val="003B6E1B"/>
    <w:rsid w:val="003C6A7D"/>
    <w:rsid w:val="003E1427"/>
    <w:rsid w:val="00406F7D"/>
    <w:rsid w:val="00415167"/>
    <w:rsid w:val="00446955"/>
    <w:rsid w:val="004700E7"/>
    <w:rsid w:val="00473224"/>
    <w:rsid w:val="00487652"/>
    <w:rsid w:val="004F723E"/>
    <w:rsid w:val="00504F83"/>
    <w:rsid w:val="005074F3"/>
    <w:rsid w:val="00525347"/>
    <w:rsid w:val="00547F89"/>
    <w:rsid w:val="0058526B"/>
    <w:rsid w:val="00587280"/>
    <w:rsid w:val="005B639B"/>
    <w:rsid w:val="005C111A"/>
    <w:rsid w:val="005E6BB1"/>
    <w:rsid w:val="005F147B"/>
    <w:rsid w:val="005F7E7E"/>
    <w:rsid w:val="0062465C"/>
    <w:rsid w:val="00627A98"/>
    <w:rsid w:val="00642315"/>
    <w:rsid w:val="00662CF9"/>
    <w:rsid w:val="00670087"/>
    <w:rsid w:val="00672AA7"/>
    <w:rsid w:val="006C53E6"/>
    <w:rsid w:val="006D4EC3"/>
    <w:rsid w:val="006F2BCE"/>
    <w:rsid w:val="007351BD"/>
    <w:rsid w:val="007436C7"/>
    <w:rsid w:val="00763897"/>
    <w:rsid w:val="00793DBC"/>
    <w:rsid w:val="007A045F"/>
    <w:rsid w:val="007A5254"/>
    <w:rsid w:val="0080409D"/>
    <w:rsid w:val="008050E5"/>
    <w:rsid w:val="00810D83"/>
    <w:rsid w:val="00822C27"/>
    <w:rsid w:val="00823EE1"/>
    <w:rsid w:val="00846C60"/>
    <w:rsid w:val="008606D0"/>
    <w:rsid w:val="00866FBF"/>
    <w:rsid w:val="008B3DEE"/>
    <w:rsid w:val="008E2131"/>
    <w:rsid w:val="00902CEE"/>
    <w:rsid w:val="0092309A"/>
    <w:rsid w:val="009570EF"/>
    <w:rsid w:val="00972A98"/>
    <w:rsid w:val="00983D01"/>
    <w:rsid w:val="009A4897"/>
    <w:rsid w:val="009B034B"/>
    <w:rsid w:val="009C158F"/>
    <w:rsid w:val="009D5CA7"/>
    <w:rsid w:val="009F2F0B"/>
    <w:rsid w:val="00A22C8C"/>
    <w:rsid w:val="00A22C98"/>
    <w:rsid w:val="00A32DA2"/>
    <w:rsid w:val="00A52FBC"/>
    <w:rsid w:val="00A61F90"/>
    <w:rsid w:val="00A61FE9"/>
    <w:rsid w:val="00A707BC"/>
    <w:rsid w:val="00A859F3"/>
    <w:rsid w:val="00A85EB5"/>
    <w:rsid w:val="00A96201"/>
    <w:rsid w:val="00AA3623"/>
    <w:rsid w:val="00AA5747"/>
    <w:rsid w:val="00AA68FD"/>
    <w:rsid w:val="00AA7B28"/>
    <w:rsid w:val="00AB1CBD"/>
    <w:rsid w:val="00AC6601"/>
    <w:rsid w:val="00AE199B"/>
    <w:rsid w:val="00B33366"/>
    <w:rsid w:val="00B360C0"/>
    <w:rsid w:val="00B569F1"/>
    <w:rsid w:val="00BC718B"/>
    <w:rsid w:val="00C01E33"/>
    <w:rsid w:val="00C05FFE"/>
    <w:rsid w:val="00C20487"/>
    <w:rsid w:val="00C32784"/>
    <w:rsid w:val="00C32808"/>
    <w:rsid w:val="00C57B36"/>
    <w:rsid w:val="00C6086E"/>
    <w:rsid w:val="00C67B3C"/>
    <w:rsid w:val="00C74E72"/>
    <w:rsid w:val="00CA40BD"/>
    <w:rsid w:val="00CB127E"/>
    <w:rsid w:val="00CB13B7"/>
    <w:rsid w:val="00CB18B6"/>
    <w:rsid w:val="00CB5E16"/>
    <w:rsid w:val="00CE35D4"/>
    <w:rsid w:val="00D06D73"/>
    <w:rsid w:val="00D13967"/>
    <w:rsid w:val="00D37233"/>
    <w:rsid w:val="00D415D3"/>
    <w:rsid w:val="00D611F0"/>
    <w:rsid w:val="00D652FF"/>
    <w:rsid w:val="00D717E6"/>
    <w:rsid w:val="00D8694F"/>
    <w:rsid w:val="00D976D4"/>
    <w:rsid w:val="00DB4DA1"/>
    <w:rsid w:val="00DC2618"/>
    <w:rsid w:val="00DD78FD"/>
    <w:rsid w:val="00DE3258"/>
    <w:rsid w:val="00E02CB8"/>
    <w:rsid w:val="00E2416E"/>
    <w:rsid w:val="00E27825"/>
    <w:rsid w:val="00E31FE7"/>
    <w:rsid w:val="00E97FDC"/>
    <w:rsid w:val="00EA12BF"/>
    <w:rsid w:val="00ED61F3"/>
    <w:rsid w:val="00EE58EF"/>
    <w:rsid w:val="00EF08E5"/>
    <w:rsid w:val="00F13448"/>
    <w:rsid w:val="00F262AE"/>
    <w:rsid w:val="00F26EA2"/>
    <w:rsid w:val="00F47A32"/>
    <w:rsid w:val="00F47BD4"/>
    <w:rsid w:val="00F7180A"/>
    <w:rsid w:val="00F93060"/>
    <w:rsid w:val="00F94C8A"/>
    <w:rsid w:val="00FA6AD0"/>
    <w:rsid w:val="00FB5B57"/>
    <w:rsid w:val="00FD3DD7"/>
    <w:rsid w:val="00FD78F7"/>
    <w:rsid w:val="00FF65BC"/>
    <w:rsid w:val="054D4D94"/>
    <w:rsid w:val="15543E3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0" w:name="footnote text"/>
    <w:lsdException w:unhideWhenUsed="0" w:uiPriority="0"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0" w:name="footnote reference"/>
    <w:lsdException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name="Default Paragraph Font"/>
    <w:lsdException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nhideWhenUsed="0" w:uiPriority="0" w:semiHidden="0"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nhideWhenUsed="0" w:uiPriority="0" w:name="Normal Table"/>
    <w:lsdException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4">
    <w:name w:val="Default Paragraph Font"/>
    <w:semiHidden/>
    <w:uiPriority w:val="0"/>
  </w:style>
  <w:style w:type="table" w:default="1" w:styleId="13">
    <w:name w:val="Normal Table"/>
    <w:semiHidden/>
    <w:uiPriority w:val="0"/>
    <w:tblPr>
      <w:tblCellMar>
        <w:top w:w="0" w:type="dxa"/>
        <w:left w:w="108" w:type="dxa"/>
        <w:bottom w:w="0" w:type="dxa"/>
        <w:right w:w="108" w:type="dxa"/>
      </w:tblCellMar>
    </w:tblPr>
  </w:style>
  <w:style w:type="paragraph" w:styleId="2">
    <w:name w:val="annotation text"/>
    <w:basedOn w:val="1"/>
    <w:semiHidden/>
    <w:uiPriority w:val="0"/>
    <w:pPr>
      <w:jc w:val="left"/>
    </w:pPr>
  </w:style>
  <w:style w:type="paragraph" w:styleId="3">
    <w:name w:val="Body Text"/>
    <w:basedOn w:val="1"/>
    <w:uiPriority w:val="0"/>
    <w:pPr>
      <w:spacing w:after="120"/>
    </w:pPr>
  </w:style>
  <w:style w:type="paragraph" w:styleId="4">
    <w:name w:val="Body Text Indent"/>
    <w:basedOn w:val="1"/>
    <w:uiPriority w:val="0"/>
    <w:pPr>
      <w:spacing w:after="120"/>
      <w:ind w:left="420"/>
    </w:pPr>
  </w:style>
  <w:style w:type="paragraph" w:styleId="5">
    <w:name w:val="Plain Text"/>
    <w:basedOn w:val="1"/>
    <w:uiPriority w:val="0"/>
    <w:rPr>
      <w:rFonts w:ascii="宋体" w:hAnsi="Courier New"/>
      <w:szCs w:val="20"/>
    </w:rPr>
  </w:style>
  <w:style w:type="paragraph" w:styleId="6">
    <w:name w:val="Date"/>
    <w:basedOn w:val="1"/>
    <w:next w:val="1"/>
    <w:uiPriority w:val="0"/>
  </w:style>
  <w:style w:type="paragraph" w:styleId="7">
    <w:name w:val="Balloon Text"/>
    <w:basedOn w:val="1"/>
    <w:semiHidden/>
    <w:uiPriority w:val="0"/>
    <w:rPr>
      <w:sz w:val="18"/>
      <w:szCs w:val="18"/>
    </w:rPr>
  </w:style>
  <w:style w:type="paragraph" w:styleId="8">
    <w:name w:val="footer"/>
    <w:basedOn w:val="1"/>
    <w:uiPriority w:val="0"/>
    <w:pPr>
      <w:tabs>
        <w:tab w:val="center" w:pos="4153"/>
        <w:tab w:val="right" w:pos="8306"/>
      </w:tabs>
      <w:snapToGrid w:val="0"/>
      <w:jc w:val="left"/>
    </w:pPr>
    <w:rPr>
      <w:sz w:val="18"/>
      <w:szCs w:val="18"/>
    </w:rPr>
  </w:style>
  <w:style w:type="paragraph" w:styleId="9">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0">
    <w:name w:val="footnote text"/>
    <w:basedOn w:val="1"/>
    <w:semiHidden/>
    <w:uiPriority w:val="0"/>
    <w:pPr>
      <w:snapToGrid w:val="0"/>
      <w:jc w:val="left"/>
    </w:pPr>
    <w:rPr>
      <w:sz w:val="18"/>
      <w:szCs w:val="18"/>
    </w:rPr>
  </w:style>
  <w:style w:type="paragraph" w:styleId="11">
    <w:name w:val="Body Text 2"/>
    <w:basedOn w:val="1"/>
    <w:uiPriority w:val="0"/>
    <w:rPr>
      <w:rFonts w:ascii="宋体" w:hAnsi="宋体"/>
      <w:sz w:val="18"/>
    </w:rPr>
  </w:style>
  <w:style w:type="paragraph" w:styleId="12">
    <w:name w:val="annotation subject"/>
    <w:basedOn w:val="2"/>
    <w:next w:val="2"/>
    <w:semiHidden/>
    <w:uiPriority w:val="0"/>
    <w:rPr>
      <w:b/>
      <w:bCs/>
    </w:rPr>
  </w:style>
  <w:style w:type="character" w:styleId="15">
    <w:name w:val="annotation reference"/>
    <w:semiHidden/>
    <w:uiPriority w:val="0"/>
    <w:rPr>
      <w:sz w:val="21"/>
      <w:szCs w:val="21"/>
    </w:rPr>
  </w:style>
  <w:style w:type="character" w:styleId="16">
    <w:name w:val="footnote reference"/>
    <w:semiHidden/>
    <w:uiPriority w:val="0"/>
    <w:rPr>
      <w:vertAlign w:val="superscript"/>
    </w:rPr>
  </w:style>
  <w:style w:type="character" w:customStyle="1" w:styleId="17">
    <w:name w:val="datatitle1"/>
    <w:uiPriority w:val="0"/>
    <w:rPr>
      <w:b/>
      <w:bCs/>
      <w:color w:val="10619F"/>
      <w:sz w:val="14"/>
      <w:szCs w:val="1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Hewlett-Packard Company</Company>
  <Pages>1</Pages>
  <Words>514</Words>
  <Characters>1438</Characters>
  <Lines>11</Lines>
  <Paragraphs>3</Paragraphs>
  <TotalTime>0</TotalTime>
  <ScaleCrop>false</ScaleCrop>
  <LinksUpToDate>false</LinksUpToDate>
  <CharactersWithSpaces>1636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2016-08-03T11:55:00Z</dcterms:created>
  <dc:creator>dell</dc:creator>
  <cp:lastModifiedBy>榴莲比较芒</cp:lastModifiedBy>
  <cp:lastPrinted>2005-06-09T07:07:00Z</cp:lastPrinted>
  <dcterms:modified xsi:type="dcterms:W3CDTF">2026-04-01T03:06:30Z</dcterms:modified>
  <dc:title>刚架—斜压杆模型在密肋复合墙板</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eyJoZGlkIjoiNTIxZjIyMTk5ODEwNTE0N2I2OGVhZWIzMzA3MjNlNjEiLCJ1c2VySWQiOiI0NTMzMTcxODIifQ==</vt:lpwstr>
  </property>
  <property fmtid="{D5CDD505-2E9C-101B-9397-08002B2CF9AE}" pid="3" name="KSOProductBuildVer">
    <vt:lpwstr>2052-12.1.0.25225</vt:lpwstr>
  </property>
  <property fmtid="{D5CDD505-2E9C-101B-9397-08002B2CF9AE}" pid="4" name="ICV">
    <vt:lpwstr>F028A62D1071474A836658776A5CD4DF_13</vt:lpwstr>
  </property>
</Properties>
</file>