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6B0E8" w14:textId="10FC16F3" w:rsidR="00C83608" w:rsidRDefault="00000000">
      <w:pPr>
        <w:pStyle w:val="ac"/>
        <w:sectPr w:rsidR="00C83608" w:rsidSect="00643B8D">
          <w:headerReference w:type="even" r:id="rId9"/>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fmt="upperRoman" w:start="1"/>
          <w:cols w:space="720"/>
          <w:titlePg/>
          <w:docGrid w:type="lines" w:linePitch="312"/>
        </w:sectPr>
      </w:pPr>
      <w:bookmarkStart w:id="0" w:name="SectionMark0"/>
      <w:r>
        <w:rPr>
          <w:noProof/>
        </w:rPr>
        <mc:AlternateContent>
          <mc:Choice Requires="wps">
            <w:drawing>
              <wp:anchor distT="0" distB="0" distL="114300" distR="114300" simplePos="0" relativeHeight="251668480" behindDoc="0" locked="1" layoutInCell="1" allowOverlap="1" wp14:anchorId="61AFBCE6" wp14:editId="32091263">
                <wp:simplePos x="0" y="0"/>
                <wp:positionH relativeFrom="margin">
                  <wp:posOffset>0</wp:posOffset>
                </wp:positionH>
                <wp:positionV relativeFrom="margin">
                  <wp:posOffset>3635375</wp:posOffset>
                </wp:positionV>
                <wp:extent cx="5969000" cy="4681220"/>
                <wp:effectExtent l="0" t="0" r="5080" b="12700"/>
                <wp:wrapNone/>
                <wp:docPr id="8" name="文本框 8"/>
                <wp:cNvGraphicFramePr/>
                <a:graphic xmlns:a="http://schemas.openxmlformats.org/drawingml/2006/main">
                  <a:graphicData uri="http://schemas.microsoft.com/office/word/2010/wordprocessingShape">
                    <wps:wsp>
                      <wps:cNvSpPr txBox="1"/>
                      <wps:spPr>
                        <a:xfrm>
                          <a:off x="0" y="0"/>
                          <a:ext cx="5969000" cy="4681220"/>
                        </a:xfrm>
                        <a:prstGeom prst="rect">
                          <a:avLst/>
                        </a:prstGeom>
                        <a:solidFill>
                          <a:srgbClr val="FFFFFF"/>
                        </a:solidFill>
                        <a:ln>
                          <a:noFill/>
                        </a:ln>
                      </wps:spPr>
                      <wps:txbx>
                        <w:txbxContent>
                          <w:p w14:paraId="5CC41AD1" w14:textId="77777777" w:rsidR="00C83608" w:rsidRDefault="00000000">
                            <w:pPr>
                              <w:ind w:firstLineChars="71" w:firstLine="371"/>
                              <w:jc w:val="center"/>
                              <w:rPr>
                                <w:b/>
                                <w:bCs/>
                                <w:sz w:val="52"/>
                                <w:szCs w:val="52"/>
                              </w:rPr>
                            </w:pPr>
                            <w:r>
                              <w:rPr>
                                <w:rFonts w:hint="eastAsia"/>
                                <w:b/>
                                <w:bCs/>
                                <w:sz w:val="52"/>
                                <w:szCs w:val="52"/>
                              </w:rPr>
                              <w:t>煤矿矿井水深井灌注技术规范</w:t>
                            </w:r>
                          </w:p>
                          <w:p w14:paraId="3950031A" w14:textId="77777777" w:rsidR="00C83608" w:rsidRPr="0002168A" w:rsidRDefault="00C83608">
                            <w:pPr>
                              <w:pStyle w:val="af1"/>
                              <w:rPr>
                                <w:sz w:val="28"/>
                              </w:rPr>
                            </w:pPr>
                          </w:p>
                          <w:p w14:paraId="4D93D3D0" w14:textId="77777777" w:rsidR="00C83608" w:rsidRDefault="00C83608">
                            <w:pPr>
                              <w:pStyle w:val="af1"/>
                              <w:rPr>
                                <w:sz w:val="28"/>
                              </w:rPr>
                            </w:pPr>
                          </w:p>
                          <w:p w14:paraId="3B31A476" w14:textId="77777777" w:rsidR="00C83608" w:rsidRDefault="00000000" w:rsidP="00F04F0A">
                            <w:pPr>
                              <w:jc w:val="center"/>
                              <w:rPr>
                                <w:b/>
                                <w:bCs/>
                                <w:sz w:val="52"/>
                                <w:szCs w:val="52"/>
                              </w:rPr>
                            </w:pPr>
                            <w:r>
                              <w:rPr>
                                <w:rFonts w:hint="eastAsia"/>
                                <w:b/>
                                <w:bCs/>
                                <w:sz w:val="52"/>
                                <w:szCs w:val="52"/>
                              </w:rPr>
                              <w:t>编制说明</w:t>
                            </w:r>
                          </w:p>
                          <w:p w14:paraId="7A7F0ACC" w14:textId="77777777" w:rsidR="00C83608" w:rsidRDefault="00C83608">
                            <w:pPr>
                              <w:pStyle w:val="a0"/>
                              <w:rPr>
                                <w:b/>
                                <w:bCs/>
                                <w:sz w:val="52"/>
                                <w:szCs w:val="52"/>
                              </w:rPr>
                            </w:pPr>
                          </w:p>
                        </w:txbxContent>
                      </wps:txbx>
                      <wps:bodyPr lIns="0" tIns="0" rIns="0" bIns="0" upright="1"/>
                    </wps:wsp>
                  </a:graphicData>
                </a:graphic>
              </wp:anchor>
            </w:drawing>
          </mc:Choice>
          <mc:Fallback>
            <w:pict>
              <v:shapetype w14:anchorId="61AFBCE6" id="_x0000_t202" coordsize="21600,21600" o:spt="202" path="m,l,21600r21600,l21600,xe">
                <v:stroke joinstyle="miter"/>
                <v:path gradientshapeok="t" o:connecttype="rect"/>
              </v:shapetype>
              <v:shape id="文本框 8" o:spid="_x0000_s1026" type="#_x0000_t202" style="position:absolute;left:0;text-align:left;margin-left:0;margin-top:286.25pt;width:470pt;height:368.6pt;z-index:25166848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" stroked="f">
                <v:textbox inset="0,0,0,0">
                  <w:txbxContent>
                    <w:p w14:paraId="5CC41AD1" w14:textId="77777777" w:rsidR="00C83608" w:rsidRDefault="00000000">
                      <w:pPr>
                        <w:ind w:firstLineChars="71" w:firstLine="371"/>
                        <w:jc w:val="center"/>
                        <w:rPr>
                          <w:b/>
                          <w:bCs/>
                          <w:sz w:val="52"/>
                          <w:szCs w:val="52"/>
                        </w:rPr>
                      </w:pPr>
                      <w:r>
                        <w:rPr>
                          <w:rFonts w:hint="eastAsia"/>
                          <w:b/>
                          <w:bCs/>
                          <w:sz w:val="52"/>
                          <w:szCs w:val="52"/>
                        </w:rPr>
                        <w:t>煤矿矿井水深井灌注技术规范</w:t>
                      </w:r>
                    </w:p>
                    <w:p w14:paraId="3950031A" w14:textId="77777777" w:rsidR="00C83608" w:rsidRPr="0002168A" w:rsidRDefault="00C83608">
                      <w:pPr>
                        <w:pStyle w:val="af1"/>
                        <w:rPr>
                          <w:sz w:val="28"/>
                        </w:rPr>
                      </w:pPr>
                    </w:p>
                    <w:p w14:paraId="4D93D3D0" w14:textId="77777777" w:rsidR="00C83608" w:rsidRDefault="00C83608">
                      <w:pPr>
                        <w:pStyle w:val="af1"/>
                        <w:rPr>
                          <w:sz w:val="28"/>
                        </w:rPr>
                      </w:pPr>
                    </w:p>
                    <w:p w14:paraId="3B31A476" w14:textId="77777777" w:rsidR="00C83608" w:rsidRDefault="00000000" w:rsidP="00F04F0A">
                      <w:pPr>
                        <w:jc w:val="center"/>
                        <w:rPr>
                          <w:b/>
                          <w:bCs/>
                          <w:sz w:val="52"/>
                          <w:szCs w:val="52"/>
                        </w:rPr>
                      </w:pPr>
                      <w:r>
                        <w:rPr>
                          <w:rFonts w:hint="eastAsia"/>
                          <w:b/>
                          <w:bCs/>
                          <w:sz w:val="52"/>
                          <w:szCs w:val="52"/>
                        </w:rPr>
                        <w:t>编制说明</w:t>
                      </w:r>
                    </w:p>
                    <w:p w14:paraId="7A7F0ACC" w14:textId="77777777" w:rsidR="00C83608" w:rsidRDefault="00C83608">
                      <w:pPr>
                        <w:pStyle w:val="a0"/>
                        <w:rPr>
                          <w:b/>
                          <w:bCs/>
                          <w:sz w:val="52"/>
                          <w:szCs w:val="52"/>
                        </w:rPr>
                      </w:pPr>
                    </w:p>
                  </w:txbxContent>
                </v:textbox>
                <w10:wrap anchorx="margin" anchory="margin"/>
                <w10:anchorlock/>
              </v:shape>
            </w:pict>
          </mc:Fallback>
        </mc:AlternateContent>
      </w:r>
    </w:p>
    <w:bookmarkEnd w:id="0"/>
    <w:p w14:paraId="224D6762" w14:textId="77777777" w:rsidR="00C83608" w:rsidRDefault="00000000">
      <w:pPr>
        <w:jc w:val="center"/>
        <w:rPr>
          <w:rFonts w:ascii="黑体" w:eastAsia="黑体" w:hAnsi="黑体" w:cs="黑体"/>
          <w:b/>
          <w:bCs/>
          <w:sz w:val="32"/>
          <w:szCs w:val="32"/>
        </w:rPr>
      </w:pPr>
      <w:r>
        <w:rPr>
          <w:rFonts w:ascii="黑体" w:eastAsia="黑体" w:hAnsi="黑体" w:cs="黑体" w:hint="eastAsia"/>
          <w:b/>
          <w:bCs/>
          <w:sz w:val="32"/>
          <w:szCs w:val="32"/>
        </w:rPr>
        <w:lastRenderedPageBreak/>
        <w:t>编制说明</w:t>
      </w:r>
    </w:p>
    <w:p w14:paraId="0E83EFCC" w14:textId="77777777" w:rsidR="00C83608" w:rsidRDefault="00000000">
      <w:pPr>
        <w:outlineLvl w:val="0"/>
        <w:rPr>
          <w:b/>
          <w:bCs/>
          <w:sz w:val="28"/>
          <w:szCs w:val="28"/>
        </w:rPr>
      </w:pPr>
      <w:r>
        <w:rPr>
          <w:rFonts w:hint="eastAsia"/>
          <w:b/>
          <w:bCs/>
          <w:sz w:val="28"/>
          <w:szCs w:val="28"/>
        </w:rPr>
        <w:t>一、工作简况</w:t>
      </w:r>
    </w:p>
    <w:p w14:paraId="76932CBD" w14:textId="77777777" w:rsidR="00C83608" w:rsidRDefault="00000000">
      <w:pPr>
        <w:spacing w:beforeLines="100" w:before="312" w:afterLines="100" w:after="312"/>
        <w:outlineLvl w:val="1"/>
        <w:rPr>
          <w:sz w:val="28"/>
          <w:szCs w:val="28"/>
        </w:rPr>
      </w:pPr>
      <w:r>
        <w:rPr>
          <w:rFonts w:ascii="Times New Roman" w:hAnsi="Times New Roman" w:cs="Times New Roman"/>
          <w:sz w:val="24"/>
          <w:szCs w:val="24"/>
        </w:rPr>
        <w:t>1.1</w:t>
      </w:r>
      <w:r>
        <w:rPr>
          <w:rFonts w:ascii="Times New Roman" w:hAnsi="Times New Roman" w:cs="Times New Roman"/>
          <w:sz w:val="24"/>
          <w:szCs w:val="24"/>
        </w:rPr>
        <w:t>任务来源</w:t>
      </w:r>
    </w:p>
    <w:p w14:paraId="07284161" w14:textId="77777777" w:rsidR="00AD67F0" w:rsidRDefault="00AD67F0" w:rsidP="00AD67F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本团标项目来源于</w:t>
      </w:r>
      <w:r w:rsidRPr="00AD67F0">
        <w:rPr>
          <w:rFonts w:ascii="Times New Roman" w:eastAsia="宋体" w:hAnsi="Times New Roman" w:cs="Times New Roman" w:hint="eastAsia"/>
          <w:sz w:val="24"/>
          <w:szCs w:val="24"/>
        </w:rPr>
        <w:t>中国煤炭学会</w:t>
      </w:r>
      <w:r>
        <w:rPr>
          <w:rFonts w:ascii="Times New Roman" w:eastAsia="宋体" w:hAnsi="Times New Roman" w:cs="Times New Roman" w:hint="eastAsia"/>
          <w:sz w:val="24"/>
          <w:szCs w:val="24"/>
        </w:rPr>
        <w:t>2</w:t>
      </w:r>
      <w:r>
        <w:rPr>
          <w:rFonts w:ascii="Times New Roman" w:eastAsia="宋体" w:hAnsi="Times New Roman" w:cs="Times New Roman"/>
          <w:sz w:val="24"/>
          <w:szCs w:val="24"/>
        </w:rPr>
        <w:t>021</w:t>
      </w:r>
      <w:r w:rsidRPr="00AD67F0">
        <w:rPr>
          <w:rFonts w:ascii="Times New Roman" w:eastAsia="宋体" w:hAnsi="Times New Roman" w:cs="Times New Roman" w:hint="eastAsia"/>
          <w:sz w:val="24"/>
          <w:szCs w:val="24"/>
        </w:rPr>
        <w:t>年第二批团体标准立项</w:t>
      </w:r>
      <w:r>
        <w:rPr>
          <w:rFonts w:ascii="Times New Roman" w:eastAsia="宋体" w:hAnsi="Times New Roman" w:cs="Times New Roman" w:hint="eastAsia"/>
          <w:sz w:val="24"/>
          <w:szCs w:val="24"/>
        </w:rPr>
        <w:t>，项目编号</w:t>
      </w:r>
      <w:r w:rsidRPr="00AD67F0">
        <w:rPr>
          <w:rFonts w:ascii="Times New Roman" w:eastAsia="宋体" w:hAnsi="Times New Roman" w:cs="Times New Roman"/>
          <w:sz w:val="24"/>
          <w:szCs w:val="24"/>
        </w:rPr>
        <w:t>t/ccs2021055</w:t>
      </w:r>
      <w:r>
        <w:rPr>
          <w:rFonts w:ascii="Times New Roman" w:eastAsia="宋体" w:hAnsi="Times New Roman" w:cs="Times New Roman" w:hint="eastAsia"/>
          <w:sz w:val="24"/>
          <w:szCs w:val="24"/>
        </w:rPr>
        <w:t>，归口管理单位</w:t>
      </w:r>
      <w:r w:rsidRPr="00AD67F0">
        <w:rPr>
          <w:rFonts w:ascii="Times New Roman" w:eastAsia="宋体" w:hAnsi="Times New Roman" w:cs="Times New Roman" w:hint="eastAsia"/>
          <w:sz w:val="24"/>
          <w:szCs w:val="24"/>
        </w:rPr>
        <w:t>中国煤炭学会</w:t>
      </w:r>
      <w:r>
        <w:rPr>
          <w:rFonts w:ascii="Times New Roman" w:eastAsia="宋体" w:hAnsi="Times New Roman" w:cs="Times New Roman" w:hint="eastAsia"/>
          <w:sz w:val="24"/>
          <w:szCs w:val="24"/>
        </w:rPr>
        <w:t>。</w:t>
      </w:r>
    </w:p>
    <w:p w14:paraId="2E60DD50"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自</w:t>
      </w:r>
      <w:r>
        <w:rPr>
          <w:rFonts w:ascii="Times New Roman" w:eastAsia="宋体" w:hAnsi="Times New Roman" w:cs="Times New Roman"/>
          <w:sz w:val="24"/>
          <w:szCs w:val="24"/>
        </w:rPr>
        <w:t>2019</w:t>
      </w:r>
      <w:r>
        <w:rPr>
          <w:rFonts w:ascii="Times New Roman" w:eastAsia="宋体" w:hAnsi="Times New Roman" w:cs="Times New Roman"/>
          <w:sz w:val="24"/>
          <w:szCs w:val="24"/>
        </w:rPr>
        <w:t>年起，中国煤炭地质总局勘查研究总院将</w:t>
      </w:r>
      <w:r w:rsidR="00AD67F0">
        <w:rPr>
          <w:rFonts w:ascii="Times New Roman" w:eastAsia="宋体" w:hAnsi="Times New Roman" w:cs="Times New Roman" w:hint="eastAsia"/>
          <w:sz w:val="24"/>
          <w:szCs w:val="24"/>
        </w:rPr>
        <w:t>矿井水</w:t>
      </w:r>
      <w:r>
        <w:rPr>
          <w:rFonts w:ascii="Times New Roman" w:eastAsia="宋体" w:hAnsi="Times New Roman" w:cs="Times New Roman"/>
          <w:sz w:val="24"/>
          <w:szCs w:val="24"/>
        </w:rPr>
        <w:t>深井灌注技术的研究列为重点科技方向，至今自筹经费立项</w:t>
      </w:r>
      <w:r>
        <w:rPr>
          <w:rFonts w:ascii="Times New Roman" w:eastAsia="宋体" w:hAnsi="Times New Roman" w:cs="Times New Roman"/>
          <w:sz w:val="24"/>
          <w:szCs w:val="24"/>
        </w:rPr>
        <w:t>3</w:t>
      </w:r>
      <w:r>
        <w:rPr>
          <w:rFonts w:ascii="Times New Roman" w:eastAsia="宋体" w:hAnsi="Times New Roman" w:cs="Times New Roman"/>
          <w:sz w:val="24"/>
          <w:szCs w:val="24"/>
        </w:rPr>
        <w:t>项，承担</w:t>
      </w:r>
      <w:r w:rsidR="00AD67F0">
        <w:rPr>
          <w:rFonts w:ascii="Times New Roman" w:eastAsia="宋体" w:hAnsi="Times New Roman" w:cs="Times New Roman" w:hint="eastAsia"/>
          <w:sz w:val="24"/>
          <w:szCs w:val="24"/>
        </w:rPr>
        <w:t>科技局及</w:t>
      </w:r>
      <w:r>
        <w:rPr>
          <w:rFonts w:ascii="Times New Roman" w:eastAsia="宋体" w:hAnsi="Times New Roman" w:cs="Times New Roman"/>
          <w:sz w:val="24"/>
          <w:szCs w:val="24"/>
        </w:rPr>
        <w:t>煤炭企业科技研发项目</w:t>
      </w:r>
      <w:r w:rsidR="00AD67F0">
        <w:rPr>
          <w:rFonts w:ascii="Times New Roman" w:eastAsia="宋体" w:hAnsi="Times New Roman" w:cs="Times New Roman"/>
          <w:sz w:val="24"/>
          <w:szCs w:val="24"/>
        </w:rPr>
        <w:t>5</w:t>
      </w:r>
      <w:r>
        <w:rPr>
          <w:rFonts w:ascii="Times New Roman" w:eastAsia="宋体" w:hAnsi="Times New Roman" w:cs="Times New Roman"/>
          <w:sz w:val="24"/>
          <w:szCs w:val="24"/>
        </w:rPr>
        <w:t>项，累计科研投入近</w:t>
      </w:r>
      <w:r w:rsidR="00AD67F0">
        <w:rPr>
          <w:rFonts w:ascii="Times New Roman" w:eastAsia="宋体" w:hAnsi="Times New Roman" w:cs="Times New Roman"/>
          <w:sz w:val="24"/>
          <w:szCs w:val="24"/>
        </w:rPr>
        <w:t>40</w:t>
      </w:r>
      <w:r>
        <w:rPr>
          <w:rFonts w:ascii="Times New Roman" w:eastAsia="宋体" w:hAnsi="Times New Roman" w:cs="Times New Roman"/>
          <w:sz w:val="24"/>
          <w:szCs w:val="24"/>
        </w:rPr>
        <w:t>00</w:t>
      </w:r>
      <w:r>
        <w:rPr>
          <w:rFonts w:ascii="Times New Roman" w:eastAsia="宋体" w:hAnsi="Times New Roman" w:cs="Times New Roman"/>
          <w:sz w:val="24"/>
          <w:szCs w:val="24"/>
        </w:rPr>
        <w:t>万元。</w:t>
      </w:r>
    </w:p>
    <w:p w14:paraId="3356E451" w14:textId="77777777" w:rsidR="00C83608" w:rsidRDefault="00000000">
      <w:pPr>
        <w:spacing w:beforeLines="100" w:before="312" w:afterLines="100" w:after="312"/>
        <w:outlineLvl w:val="1"/>
        <w:rPr>
          <w:rFonts w:ascii="Times New Roman" w:hAnsi="Times New Roman" w:cs="Times New Roman"/>
          <w:sz w:val="24"/>
          <w:szCs w:val="24"/>
        </w:rPr>
      </w:pPr>
      <w:r>
        <w:rPr>
          <w:rFonts w:ascii="Times New Roman" w:hAnsi="Times New Roman" w:cs="Times New Roman" w:hint="eastAsia"/>
          <w:sz w:val="24"/>
          <w:szCs w:val="24"/>
        </w:rPr>
        <w:t>1.2</w:t>
      </w:r>
      <w:r>
        <w:rPr>
          <w:rFonts w:ascii="Times New Roman" w:hAnsi="Times New Roman" w:cs="Times New Roman" w:hint="eastAsia"/>
          <w:sz w:val="24"/>
          <w:szCs w:val="24"/>
        </w:rPr>
        <w:t>协作单位</w:t>
      </w:r>
    </w:p>
    <w:p w14:paraId="2781B731" w14:textId="77777777" w:rsidR="00C83608" w:rsidRDefault="00AD67F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本标准协作单位包括</w:t>
      </w:r>
      <w:r w:rsidRPr="00AD67F0">
        <w:rPr>
          <w:rFonts w:ascii="Times New Roman" w:eastAsia="宋体" w:hAnsi="Times New Roman" w:cs="Times New Roman" w:hint="eastAsia"/>
          <w:sz w:val="24"/>
          <w:szCs w:val="24"/>
        </w:rPr>
        <w:t>内蒙古天耀能源高新技术有限公司、深圳能源资源综合开发有限公司、江苏远方动力科技有限公司</w:t>
      </w:r>
      <w:r w:rsidRPr="00AD67F0">
        <w:rPr>
          <w:rFonts w:ascii="Times New Roman" w:eastAsia="宋体" w:hAnsi="Times New Roman" w:cs="Times New Roman" w:hint="eastAsia"/>
          <w:sz w:val="24"/>
          <w:szCs w:val="24"/>
        </w:rPr>
        <w:t xml:space="preserve"> </w:t>
      </w:r>
      <w:r w:rsidRPr="00AD67F0">
        <w:rPr>
          <w:rFonts w:ascii="Times New Roman" w:eastAsia="宋体" w:hAnsi="Times New Roman" w:cs="Times New Roman" w:hint="eastAsia"/>
          <w:sz w:val="24"/>
          <w:szCs w:val="24"/>
        </w:rPr>
        <w:t>、中煤地生态环境科技有限公司、中煤科工集团南京设计研究院有限公司、中建环能（山东）环境科技有限公司、北京</w:t>
      </w:r>
      <w:proofErr w:type="gramStart"/>
      <w:r w:rsidRPr="00AD67F0">
        <w:rPr>
          <w:rFonts w:ascii="Times New Roman" w:eastAsia="宋体" w:hAnsi="Times New Roman" w:cs="Times New Roman" w:hint="eastAsia"/>
          <w:sz w:val="24"/>
          <w:szCs w:val="24"/>
        </w:rPr>
        <w:t>中环智云生态环境</w:t>
      </w:r>
      <w:proofErr w:type="gramEnd"/>
      <w:r w:rsidRPr="00AD67F0">
        <w:rPr>
          <w:rFonts w:ascii="Times New Roman" w:eastAsia="宋体" w:hAnsi="Times New Roman" w:cs="Times New Roman" w:hint="eastAsia"/>
          <w:sz w:val="24"/>
          <w:szCs w:val="24"/>
        </w:rPr>
        <w:t>科技有限公司、北京中矿博能节能科技有限公司、神木市前渠生态环保有限公司、内蒙古久科康瑞环保科技有限公司、中煤（北京）环保工程有限公司、北京低碳清洁能源研究院、华能煤炭技术研究有限公司</w:t>
      </w:r>
      <w:r>
        <w:rPr>
          <w:rFonts w:ascii="Times New Roman" w:eastAsia="宋体" w:hAnsi="Times New Roman" w:cs="Times New Roman" w:hint="eastAsia"/>
          <w:sz w:val="24"/>
          <w:szCs w:val="24"/>
        </w:rPr>
        <w:t>等多家企业及研究机构。</w:t>
      </w:r>
    </w:p>
    <w:p w14:paraId="365D9C62" w14:textId="77777777" w:rsidR="00C83608" w:rsidRDefault="00000000">
      <w:pPr>
        <w:spacing w:beforeLines="100" w:before="312" w:afterLines="100" w:after="312"/>
        <w:outlineLvl w:val="1"/>
        <w:rPr>
          <w:rFonts w:ascii="Times New Roman" w:hAnsi="Times New Roman" w:cs="Times New Roman"/>
          <w:sz w:val="24"/>
          <w:szCs w:val="24"/>
        </w:rPr>
      </w:pPr>
      <w:r>
        <w:rPr>
          <w:rFonts w:ascii="Times New Roman" w:hAnsi="Times New Roman" w:cs="Times New Roman" w:hint="eastAsia"/>
          <w:sz w:val="24"/>
          <w:szCs w:val="24"/>
        </w:rPr>
        <w:t>1.3</w:t>
      </w:r>
      <w:r>
        <w:rPr>
          <w:rFonts w:ascii="Times New Roman" w:hAnsi="Times New Roman" w:cs="Times New Roman" w:hint="eastAsia"/>
          <w:sz w:val="24"/>
          <w:szCs w:val="24"/>
        </w:rPr>
        <w:t>主要工作过程</w:t>
      </w:r>
    </w:p>
    <w:p w14:paraId="40451D50" w14:textId="77777777" w:rsidR="00624933" w:rsidRPr="00624933" w:rsidRDefault="00F04F0A" w:rsidP="00624933">
      <w:pPr>
        <w:pStyle w:val="a0"/>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bookmarkStart w:id="1" w:name="_Hlk131175516"/>
      <w:r w:rsidRPr="00F04F0A">
        <w:rPr>
          <w:rFonts w:ascii="Times New Roman" w:eastAsia="宋体" w:hAnsi="Times New Roman" w:cs="Times New Roman" w:hint="eastAsia"/>
          <w:sz w:val="24"/>
          <w:szCs w:val="24"/>
        </w:rPr>
        <w:t>煤矿矿井水深井灌注技术规范</w:t>
      </w:r>
      <w:bookmarkEnd w:id="1"/>
      <w:r>
        <w:rPr>
          <w:rFonts w:ascii="Times New Roman" w:eastAsia="宋体" w:hAnsi="Times New Roman" w:cs="Times New Roman" w:hint="eastAsia"/>
          <w:sz w:val="24"/>
          <w:szCs w:val="24"/>
        </w:rPr>
        <w:t>》</w:t>
      </w:r>
      <w:r w:rsidR="00624933" w:rsidRPr="00624933">
        <w:rPr>
          <w:rFonts w:ascii="Times New Roman" w:eastAsia="宋体" w:hAnsi="Times New Roman" w:cs="Times New Roman" w:hint="eastAsia"/>
          <w:sz w:val="24"/>
          <w:szCs w:val="24"/>
        </w:rPr>
        <w:t>标准编写团队于</w:t>
      </w:r>
      <w:r w:rsidR="00624933" w:rsidRPr="00624933">
        <w:rPr>
          <w:rFonts w:ascii="Times New Roman" w:eastAsia="宋体" w:hAnsi="Times New Roman" w:cs="Times New Roman" w:hint="eastAsia"/>
          <w:sz w:val="24"/>
          <w:szCs w:val="24"/>
        </w:rPr>
        <w:t>2021</w:t>
      </w:r>
      <w:r w:rsidR="00624933" w:rsidRPr="00624933">
        <w:rPr>
          <w:rFonts w:ascii="Times New Roman" w:eastAsia="宋体" w:hAnsi="Times New Roman" w:cs="Times New Roman" w:hint="eastAsia"/>
          <w:sz w:val="24"/>
          <w:szCs w:val="24"/>
        </w:rPr>
        <w:t>年</w:t>
      </w:r>
      <w:r w:rsidR="00624933" w:rsidRPr="00624933">
        <w:rPr>
          <w:rFonts w:ascii="Times New Roman" w:eastAsia="宋体" w:hAnsi="Times New Roman" w:cs="Times New Roman" w:hint="eastAsia"/>
          <w:sz w:val="24"/>
          <w:szCs w:val="24"/>
        </w:rPr>
        <w:t>1</w:t>
      </w:r>
      <w:r w:rsidR="00624933">
        <w:rPr>
          <w:rFonts w:ascii="Times New Roman" w:eastAsia="宋体" w:hAnsi="Times New Roman" w:cs="Times New Roman"/>
          <w:sz w:val="24"/>
          <w:szCs w:val="24"/>
        </w:rPr>
        <w:t>1</w:t>
      </w:r>
      <w:r w:rsidR="00624933" w:rsidRPr="00624933">
        <w:rPr>
          <w:rFonts w:ascii="Times New Roman" w:eastAsia="宋体" w:hAnsi="Times New Roman" w:cs="Times New Roman" w:hint="eastAsia"/>
          <w:sz w:val="24"/>
          <w:szCs w:val="24"/>
        </w:rPr>
        <w:t>月编制了项目设计书，进行可行性论证、项目概算。</w:t>
      </w:r>
      <w:r w:rsidR="00624933" w:rsidRPr="00624933">
        <w:rPr>
          <w:rFonts w:ascii="Times New Roman" w:eastAsia="宋体" w:hAnsi="Times New Roman" w:cs="Times New Roman" w:hint="eastAsia"/>
          <w:sz w:val="24"/>
          <w:szCs w:val="24"/>
        </w:rPr>
        <w:t>2021</w:t>
      </w:r>
      <w:r w:rsidR="00624933" w:rsidRPr="00624933">
        <w:rPr>
          <w:rFonts w:ascii="Times New Roman" w:eastAsia="宋体" w:hAnsi="Times New Roman" w:cs="Times New Roman" w:hint="eastAsia"/>
          <w:sz w:val="24"/>
          <w:szCs w:val="24"/>
        </w:rPr>
        <w:t>年</w:t>
      </w:r>
      <w:r w:rsidR="00624933" w:rsidRPr="00624933">
        <w:rPr>
          <w:rFonts w:ascii="Times New Roman" w:eastAsia="宋体" w:hAnsi="Times New Roman" w:cs="Times New Roman" w:hint="eastAsia"/>
          <w:sz w:val="24"/>
          <w:szCs w:val="24"/>
        </w:rPr>
        <w:t>12</w:t>
      </w:r>
      <w:r w:rsidR="00624933" w:rsidRPr="00624933">
        <w:rPr>
          <w:rFonts w:ascii="Times New Roman" w:eastAsia="宋体" w:hAnsi="Times New Roman" w:cs="Times New Roman" w:hint="eastAsia"/>
          <w:sz w:val="24"/>
          <w:szCs w:val="24"/>
        </w:rPr>
        <w:t>月北</w:t>
      </w:r>
      <w:r w:rsidR="00624933">
        <w:rPr>
          <w:rFonts w:ascii="Times New Roman" w:eastAsia="宋体" w:hAnsi="Times New Roman" w:cs="Times New Roman" w:hint="eastAsia"/>
          <w:sz w:val="24"/>
          <w:szCs w:val="24"/>
        </w:rPr>
        <w:t>中国煤炭地质总局</w:t>
      </w:r>
      <w:r w:rsidR="00624933" w:rsidRPr="00624933">
        <w:rPr>
          <w:rFonts w:ascii="Times New Roman" w:eastAsia="宋体" w:hAnsi="Times New Roman" w:cs="Times New Roman" w:hint="eastAsia"/>
          <w:sz w:val="24"/>
          <w:szCs w:val="24"/>
        </w:rPr>
        <w:t>组织专家对项目总体设计进行了初审，</w:t>
      </w:r>
      <w:r w:rsidR="00624933" w:rsidRPr="00624933">
        <w:rPr>
          <w:rFonts w:ascii="Times New Roman" w:eastAsia="宋体" w:hAnsi="Times New Roman" w:cs="Times New Roman" w:hint="eastAsia"/>
          <w:sz w:val="24"/>
          <w:szCs w:val="24"/>
        </w:rPr>
        <w:t>202</w:t>
      </w:r>
      <w:r w:rsidR="00624933">
        <w:rPr>
          <w:rFonts w:ascii="Times New Roman" w:eastAsia="宋体" w:hAnsi="Times New Roman" w:cs="Times New Roman"/>
          <w:sz w:val="24"/>
          <w:szCs w:val="24"/>
        </w:rPr>
        <w:t>1</w:t>
      </w:r>
      <w:r w:rsidR="00624933" w:rsidRPr="00624933">
        <w:rPr>
          <w:rFonts w:ascii="Times New Roman" w:eastAsia="宋体" w:hAnsi="Times New Roman" w:cs="Times New Roman" w:hint="eastAsia"/>
          <w:sz w:val="24"/>
          <w:szCs w:val="24"/>
        </w:rPr>
        <w:t>年</w:t>
      </w:r>
      <w:r w:rsidR="00624933" w:rsidRPr="00624933">
        <w:rPr>
          <w:rFonts w:ascii="Times New Roman" w:eastAsia="宋体" w:hAnsi="Times New Roman" w:cs="Times New Roman" w:hint="eastAsia"/>
          <w:sz w:val="24"/>
          <w:szCs w:val="24"/>
        </w:rPr>
        <w:t>1</w:t>
      </w:r>
      <w:r w:rsidR="00624933">
        <w:rPr>
          <w:rFonts w:ascii="Times New Roman" w:eastAsia="宋体" w:hAnsi="Times New Roman" w:cs="Times New Roman"/>
          <w:sz w:val="24"/>
          <w:szCs w:val="24"/>
        </w:rPr>
        <w:t>2</w:t>
      </w:r>
      <w:r w:rsidR="00624933" w:rsidRPr="00624933">
        <w:rPr>
          <w:rFonts w:ascii="Times New Roman" w:eastAsia="宋体" w:hAnsi="Times New Roman" w:cs="Times New Roman" w:hint="eastAsia"/>
          <w:sz w:val="24"/>
          <w:szCs w:val="24"/>
        </w:rPr>
        <w:t>月</w:t>
      </w:r>
      <w:r w:rsidR="00624933">
        <w:rPr>
          <w:rFonts w:ascii="Times New Roman" w:eastAsia="宋体" w:hAnsi="Times New Roman" w:cs="Times New Roman" w:hint="eastAsia"/>
          <w:sz w:val="24"/>
          <w:szCs w:val="24"/>
        </w:rPr>
        <w:t>末</w:t>
      </w:r>
      <w:r w:rsidR="00624933" w:rsidRPr="00624933">
        <w:rPr>
          <w:rFonts w:ascii="Times New Roman" w:eastAsia="宋体" w:hAnsi="Times New Roman" w:cs="Times New Roman" w:hint="eastAsia"/>
          <w:sz w:val="24"/>
          <w:szCs w:val="24"/>
        </w:rPr>
        <w:t>项目通过了中国煤炭学会的终审。</w:t>
      </w:r>
    </w:p>
    <w:p w14:paraId="36826B5E" w14:textId="77777777" w:rsidR="00624933" w:rsidRPr="00624933" w:rsidRDefault="00624933" w:rsidP="00624933">
      <w:pPr>
        <w:pStyle w:val="TOC2"/>
        <w:spacing w:line="360" w:lineRule="auto"/>
        <w:ind w:leftChars="0" w:left="0" w:firstLineChars="177" w:firstLine="425"/>
        <w:rPr>
          <w:rFonts w:ascii="Times New Roman" w:eastAsia="宋体" w:hAnsi="Times New Roman" w:cs="Times New Roman"/>
          <w:sz w:val="24"/>
          <w:szCs w:val="24"/>
        </w:rPr>
      </w:pPr>
      <w:r w:rsidRPr="00624933">
        <w:rPr>
          <w:rFonts w:ascii="Times New Roman" w:eastAsia="宋体" w:hAnsi="Times New Roman" w:cs="Times New Roman" w:hint="eastAsia"/>
          <w:sz w:val="24"/>
          <w:szCs w:val="24"/>
        </w:rPr>
        <w:t>2022</w:t>
      </w:r>
      <w:r w:rsidRPr="00624933">
        <w:rPr>
          <w:rFonts w:ascii="Times New Roman" w:eastAsia="宋体" w:hAnsi="Times New Roman" w:cs="Times New Roman" w:hint="eastAsia"/>
          <w:sz w:val="24"/>
          <w:szCs w:val="24"/>
        </w:rPr>
        <w:t>年</w:t>
      </w:r>
      <w:r w:rsidRPr="00624933">
        <w:rPr>
          <w:rFonts w:ascii="Times New Roman" w:eastAsia="宋体" w:hAnsi="Times New Roman" w:cs="Times New Roman" w:hint="eastAsia"/>
          <w:sz w:val="24"/>
          <w:szCs w:val="24"/>
        </w:rPr>
        <w:t>1</w:t>
      </w:r>
      <w:r w:rsidRPr="00624933">
        <w:rPr>
          <w:rFonts w:ascii="Times New Roman" w:eastAsia="宋体" w:hAnsi="Times New Roman" w:cs="Times New Roman" w:hint="eastAsia"/>
          <w:sz w:val="24"/>
          <w:szCs w:val="24"/>
        </w:rPr>
        <w:t>月</w:t>
      </w:r>
      <w:r w:rsidR="00C650FD">
        <w:rPr>
          <w:rFonts w:ascii="Times New Roman" w:eastAsia="宋体" w:hAnsi="Times New Roman" w:cs="Times New Roman" w:hint="eastAsia"/>
          <w:sz w:val="24"/>
          <w:szCs w:val="24"/>
        </w:rPr>
        <w:t>—</w:t>
      </w:r>
      <w:r>
        <w:rPr>
          <w:rFonts w:ascii="Times New Roman" w:eastAsia="宋体" w:hAnsi="Times New Roman" w:cs="Times New Roman"/>
          <w:sz w:val="24"/>
          <w:szCs w:val="24"/>
        </w:rPr>
        <w:t>12</w:t>
      </w:r>
      <w:r w:rsidRPr="00624933">
        <w:rPr>
          <w:rFonts w:ascii="Times New Roman" w:eastAsia="宋体" w:hAnsi="Times New Roman" w:cs="Times New Roman" w:hint="eastAsia"/>
          <w:sz w:val="24"/>
          <w:szCs w:val="24"/>
        </w:rPr>
        <w:t>月，按照项目进度安排，开展了下列工作</w:t>
      </w:r>
      <w:r w:rsidRPr="00624933">
        <w:rPr>
          <w:rFonts w:ascii="Times New Roman" w:eastAsia="宋体" w:hAnsi="Times New Roman" w:cs="Times New Roman" w:hint="eastAsia"/>
          <w:sz w:val="24"/>
          <w:szCs w:val="24"/>
        </w:rPr>
        <w:t>:</w:t>
      </w:r>
    </w:p>
    <w:p w14:paraId="445DBECE" w14:textId="77777777" w:rsidR="00624933" w:rsidRPr="00624933" w:rsidRDefault="00624933" w:rsidP="00624933">
      <w:pPr>
        <w:pStyle w:val="TOC2"/>
        <w:spacing w:line="360" w:lineRule="auto"/>
        <w:ind w:leftChars="0" w:left="0" w:firstLineChars="177" w:firstLine="425"/>
        <w:rPr>
          <w:rFonts w:ascii="Times New Roman" w:eastAsia="宋体" w:hAnsi="Times New Roman" w:cs="Times New Roman"/>
          <w:sz w:val="24"/>
          <w:szCs w:val="24"/>
        </w:rPr>
      </w:pP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2022</w:t>
      </w:r>
      <w:r w:rsidRPr="00624933">
        <w:rPr>
          <w:rFonts w:ascii="Times New Roman" w:eastAsia="宋体" w:hAnsi="Times New Roman" w:cs="Times New Roman" w:hint="eastAsia"/>
          <w:sz w:val="24"/>
          <w:szCs w:val="24"/>
        </w:rPr>
        <w:t>年</w:t>
      </w:r>
      <w:r w:rsidRPr="00624933">
        <w:rPr>
          <w:rFonts w:ascii="Times New Roman" w:eastAsia="宋体" w:hAnsi="Times New Roman" w:cs="Times New Roman" w:hint="eastAsia"/>
          <w:sz w:val="24"/>
          <w:szCs w:val="24"/>
        </w:rPr>
        <w:t>1</w:t>
      </w:r>
      <w:r w:rsidRPr="00624933">
        <w:rPr>
          <w:rFonts w:ascii="Times New Roman" w:eastAsia="宋体" w:hAnsi="Times New Roman" w:cs="Times New Roman" w:hint="eastAsia"/>
          <w:sz w:val="24"/>
          <w:szCs w:val="24"/>
        </w:rPr>
        <w:t>月</w:t>
      </w:r>
      <w:r>
        <w:rPr>
          <w:rFonts w:ascii="Times New Roman" w:eastAsia="宋体" w:hAnsi="Times New Roman" w:cs="Times New Roman" w:hint="eastAsia"/>
          <w:sz w:val="24"/>
          <w:szCs w:val="24"/>
        </w:rPr>
        <w:t>-</w:t>
      </w:r>
      <w:r>
        <w:rPr>
          <w:rFonts w:ascii="Times New Roman" w:eastAsia="宋体" w:hAnsi="Times New Roman" w:cs="Times New Roman"/>
          <w:sz w:val="24"/>
          <w:szCs w:val="24"/>
        </w:rPr>
        <w:t>3</w:t>
      </w:r>
      <w:r w:rsidRPr="00624933">
        <w:rPr>
          <w:rFonts w:ascii="Times New Roman" w:eastAsia="宋体" w:hAnsi="Times New Roman" w:cs="Times New Roman" w:hint="eastAsia"/>
          <w:sz w:val="24"/>
          <w:szCs w:val="24"/>
        </w:rPr>
        <w:t>月针对《煤矿矿井水深井灌注技术规范》</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以下简称《规范》</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研究内容，项目组进行走访、座谈和调研、收集与矿井水深井灌注相关的标准、规范、管理办法、论文、科研报告。对已有的研究成果进行了综合研究，为编制《规范》奠定了基础。</w:t>
      </w:r>
    </w:p>
    <w:p w14:paraId="5B6DAD84" w14:textId="77777777" w:rsidR="00624933" w:rsidRPr="00624933" w:rsidRDefault="00624933" w:rsidP="00624933">
      <w:pPr>
        <w:pStyle w:val="TOC2"/>
        <w:spacing w:line="360" w:lineRule="auto"/>
        <w:ind w:leftChars="0"/>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2022</w:t>
      </w:r>
      <w:r w:rsidRPr="00624933">
        <w:rPr>
          <w:rFonts w:ascii="Times New Roman" w:eastAsia="宋体" w:hAnsi="Times New Roman" w:cs="Times New Roman" w:hint="eastAsia"/>
          <w:sz w:val="24"/>
          <w:szCs w:val="24"/>
        </w:rPr>
        <w:t>年</w:t>
      </w:r>
      <w:r>
        <w:rPr>
          <w:rFonts w:ascii="Times New Roman" w:eastAsia="宋体" w:hAnsi="Times New Roman" w:cs="Times New Roman"/>
          <w:sz w:val="24"/>
          <w:szCs w:val="24"/>
        </w:rPr>
        <w:t>4</w:t>
      </w:r>
      <w:r w:rsidRPr="00624933">
        <w:rPr>
          <w:rFonts w:ascii="Times New Roman" w:eastAsia="宋体" w:hAnsi="Times New Roman" w:cs="Times New Roman" w:hint="eastAsia"/>
          <w:sz w:val="24"/>
          <w:szCs w:val="24"/>
        </w:rPr>
        <w:t>月</w:t>
      </w:r>
      <w:r w:rsidRPr="00624933">
        <w:rPr>
          <w:rFonts w:ascii="Times New Roman" w:eastAsia="宋体" w:hAnsi="Times New Roman" w:cs="Times New Roman" w:hint="eastAsia"/>
          <w:sz w:val="24"/>
          <w:szCs w:val="24"/>
        </w:rPr>
        <w:t>~</w:t>
      </w:r>
      <w:r>
        <w:rPr>
          <w:rFonts w:ascii="Times New Roman" w:eastAsia="宋体" w:hAnsi="Times New Roman" w:cs="Times New Roman"/>
          <w:sz w:val="24"/>
          <w:szCs w:val="24"/>
        </w:rPr>
        <w:t>6</w:t>
      </w:r>
      <w:r w:rsidRPr="00624933">
        <w:rPr>
          <w:rFonts w:ascii="Times New Roman" w:eastAsia="宋体" w:hAnsi="Times New Roman" w:cs="Times New Roman" w:hint="eastAsia"/>
          <w:sz w:val="24"/>
          <w:szCs w:val="24"/>
        </w:rPr>
        <w:t>月，项目组研究编制出《规范》</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工作组讨论稿</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w:t>
      </w:r>
    </w:p>
    <w:p w14:paraId="19A68223" w14:textId="77777777" w:rsidR="00624933" w:rsidRPr="00624933" w:rsidRDefault="00624933" w:rsidP="00624933">
      <w:pPr>
        <w:pStyle w:val="TOC2"/>
        <w:spacing w:line="360" w:lineRule="auto"/>
        <w:ind w:leftChars="0" w:left="0" w:firstLineChars="177" w:firstLine="425"/>
        <w:rPr>
          <w:rFonts w:ascii="Times New Roman" w:eastAsia="宋体" w:hAnsi="Times New Roman" w:cs="Times New Roman"/>
          <w:sz w:val="24"/>
          <w:szCs w:val="24"/>
        </w:rPr>
      </w:pPr>
      <w:r>
        <w:rPr>
          <w:rFonts w:ascii="Times New Roman" w:eastAsia="宋体" w:hAnsi="Times New Roman" w:cs="Times New Roman"/>
          <w:sz w:val="24"/>
          <w:szCs w:val="24"/>
        </w:rPr>
        <w:lastRenderedPageBreak/>
        <w:t>3</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2022</w:t>
      </w:r>
      <w:r w:rsidRPr="00624933">
        <w:rPr>
          <w:rFonts w:ascii="Times New Roman" w:eastAsia="宋体" w:hAnsi="Times New Roman" w:cs="Times New Roman" w:hint="eastAsia"/>
          <w:sz w:val="24"/>
          <w:szCs w:val="24"/>
        </w:rPr>
        <w:t>年</w:t>
      </w:r>
      <w:r>
        <w:rPr>
          <w:rFonts w:ascii="Times New Roman" w:eastAsia="宋体" w:hAnsi="Times New Roman" w:cs="Times New Roman"/>
          <w:sz w:val="24"/>
          <w:szCs w:val="24"/>
        </w:rPr>
        <w:t>7</w:t>
      </w:r>
      <w:r w:rsidRPr="00624933">
        <w:rPr>
          <w:rFonts w:ascii="Times New Roman" w:eastAsia="宋体" w:hAnsi="Times New Roman" w:cs="Times New Roman" w:hint="eastAsia"/>
          <w:sz w:val="24"/>
          <w:szCs w:val="24"/>
        </w:rPr>
        <w:t>月，项目组在北京组织专家召开了《规范》</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工作组讨论稿</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研讨会。</w:t>
      </w:r>
    </w:p>
    <w:p w14:paraId="23DB42BF" w14:textId="77777777" w:rsidR="00624933" w:rsidRPr="00624933" w:rsidRDefault="00624933" w:rsidP="00624933">
      <w:pPr>
        <w:pStyle w:val="TOC2"/>
        <w:spacing w:line="360" w:lineRule="auto"/>
        <w:ind w:leftChars="0" w:left="0"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4</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2022</w:t>
      </w:r>
      <w:r w:rsidRPr="00624933">
        <w:rPr>
          <w:rFonts w:ascii="Times New Roman" w:eastAsia="宋体" w:hAnsi="Times New Roman" w:cs="Times New Roman" w:hint="eastAsia"/>
          <w:sz w:val="24"/>
          <w:szCs w:val="24"/>
        </w:rPr>
        <w:t>年</w:t>
      </w:r>
      <w:r>
        <w:rPr>
          <w:rFonts w:ascii="Times New Roman" w:eastAsia="宋体" w:hAnsi="Times New Roman" w:cs="Times New Roman"/>
          <w:sz w:val="24"/>
          <w:szCs w:val="24"/>
        </w:rPr>
        <w:t>8</w:t>
      </w:r>
      <w:r w:rsidRPr="00624933">
        <w:rPr>
          <w:rFonts w:ascii="Times New Roman" w:eastAsia="宋体" w:hAnsi="Times New Roman" w:cs="Times New Roman" w:hint="eastAsia"/>
          <w:sz w:val="24"/>
          <w:szCs w:val="24"/>
        </w:rPr>
        <w:t>月</w:t>
      </w:r>
      <w:r w:rsidRPr="00624933">
        <w:rPr>
          <w:rFonts w:ascii="Times New Roman" w:eastAsia="宋体" w:hAnsi="Times New Roman" w:cs="Times New Roman" w:hint="eastAsia"/>
          <w:sz w:val="24"/>
          <w:szCs w:val="24"/>
        </w:rPr>
        <w:t>~</w:t>
      </w:r>
      <w:r>
        <w:rPr>
          <w:rFonts w:ascii="Times New Roman" w:eastAsia="宋体" w:hAnsi="Times New Roman" w:cs="Times New Roman"/>
          <w:sz w:val="24"/>
          <w:szCs w:val="24"/>
        </w:rPr>
        <w:t>11</w:t>
      </w:r>
      <w:r w:rsidRPr="00624933">
        <w:rPr>
          <w:rFonts w:ascii="Times New Roman" w:eastAsia="宋体" w:hAnsi="Times New Roman" w:cs="Times New Roman" w:hint="eastAsia"/>
          <w:sz w:val="24"/>
          <w:szCs w:val="24"/>
        </w:rPr>
        <w:t>月，项目组召开</w:t>
      </w:r>
      <w:r w:rsidRPr="00624933">
        <w:rPr>
          <w:rFonts w:ascii="Times New Roman" w:eastAsia="宋体" w:hAnsi="Times New Roman" w:cs="Times New Roman" w:hint="eastAsia"/>
          <w:sz w:val="24"/>
          <w:szCs w:val="24"/>
        </w:rPr>
        <w:t xml:space="preserve">3 </w:t>
      </w:r>
      <w:r w:rsidRPr="00624933">
        <w:rPr>
          <w:rFonts w:ascii="Times New Roman" w:eastAsia="宋体" w:hAnsi="Times New Roman" w:cs="Times New Roman" w:hint="eastAsia"/>
          <w:sz w:val="24"/>
          <w:szCs w:val="24"/>
        </w:rPr>
        <w:t>轮组内研讨会，对专家意见进行讨论，确定修改方案。</w:t>
      </w:r>
    </w:p>
    <w:p w14:paraId="2D9C5E8C" w14:textId="77777777" w:rsidR="00624933" w:rsidRDefault="00624933" w:rsidP="00624933">
      <w:pPr>
        <w:pStyle w:val="TOC2"/>
        <w:spacing w:line="360" w:lineRule="auto"/>
        <w:ind w:leftChars="0" w:left="0" w:firstLineChars="177" w:firstLine="425"/>
        <w:rPr>
          <w:rFonts w:ascii="Times New Roman" w:eastAsia="宋体" w:hAnsi="Times New Roman" w:cs="Times New Roman"/>
          <w:sz w:val="24"/>
          <w:szCs w:val="24"/>
        </w:rPr>
      </w:pPr>
      <w:r>
        <w:rPr>
          <w:rFonts w:ascii="Times New Roman" w:eastAsia="宋体" w:hAnsi="Times New Roman" w:cs="Times New Roman"/>
          <w:sz w:val="24"/>
          <w:szCs w:val="24"/>
        </w:rPr>
        <w:t>5</w:t>
      </w:r>
      <w:r>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2022</w:t>
      </w:r>
      <w:r w:rsidRPr="00624933">
        <w:rPr>
          <w:rFonts w:ascii="Times New Roman" w:eastAsia="宋体" w:hAnsi="Times New Roman" w:cs="Times New Roman" w:hint="eastAsia"/>
          <w:sz w:val="24"/>
          <w:szCs w:val="24"/>
        </w:rPr>
        <w:t>年</w:t>
      </w:r>
      <w:r>
        <w:rPr>
          <w:rFonts w:ascii="Times New Roman" w:eastAsia="宋体" w:hAnsi="Times New Roman" w:cs="Times New Roman"/>
          <w:sz w:val="24"/>
          <w:szCs w:val="24"/>
        </w:rPr>
        <w:t>12</w:t>
      </w:r>
      <w:r w:rsidRPr="00624933">
        <w:rPr>
          <w:rFonts w:ascii="Times New Roman" w:eastAsia="宋体" w:hAnsi="Times New Roman" w:cs="Times New Roman" w:hint="eastAsia"/>
          <w:sz w:val="24"/>
          <w:szCs w:val="24"/>
        </w:rPr>
        <w:t>月</w:t>
      </w:r>
      <w:r w:rsidRPr="00624933">
        <w:rPr>
          <w:rFonts w:ascii="Times New Roman" w:eastAsia="宋体" w:hAnsi="Times New Roman" w:cs="Times New Roman" w:hint="eastAsia"/>
          <w:sz w:val="24"/>
          <w:szCs w:val="24"/>
        </w:rPr>
        <w:t>~</w:t>
      </w:r>
      <w:r>
        <w:rPr>
          <w:rFonts w:ascii="Times New Roman" w:eastAsia="宋体" w:hAnsi="Times New Roman" w:cs="Times New Roman"/>
          <w:sz w:val="24"/>
          <w:szCs w:val="24"/>
        </w:rPr>
        <w:t>2023</w:t>
      </w:r>
      <w:r>
        <w:rPr>
          <w:rFonts w:ascii="Times New Roman" w:eastAsia="宋体" w:hAnsi="Times New Roman" w:cs="Times New Roman" w:hint="eastAsia"/>
          <w:sz w:val="24"/>
          <w:szCs w:val="24"/>
        </w:rPr>
        <w:t>年</w:t>
      </w:r>
      <w:r>
        <w:rPr>
          <w:rFonts w:ascii="Times New Roman" w:eastAsia="宋体" w:hAnsi="Times New Roman" w:cs="Times New Roman"/>
          <w:sz w:val="24"/>
          <w:szCs w:val="24"/>
        </w:rPr>
        <w:t>1</w:t>
      </w:r>
      <w:r w:rsidRPr="00624933">
        <w:rPr>
          <w:rFonts w:ascii="Times New Roman" w:eastAsia="宋体" w:hAnsi="Times New Roman" w:cs="Times New Roman" w:hint="eastAsia"/>
          <w:sz w:val="24"/>
          <w:szCs w:val="24"/>
        </w:rPr>
        <w:t>月，项目组根据专家意见，修改完善《规范》</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工作组讨论稿</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，形成《规范》</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征求意见稿</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及其编制说明。</w:t>
      </w:r>
    </w:p>
    <w:p w14:paraId="62E3ED6F" w14:textId="77777777" w:rsidR="00624933" w:rsidRPr="00624933" w:rsidRDefault="00624933" w:rsidP="00624933">
      <w:pPr>
        <w:spacing w:line="360" w:lineRule="auto"/>
        <w:ind w:firstLineChars="177" w:firstLine="425"/>
        <w:rPr>
          <w:rFonts w:ascii="Times New Roman" w:eastAsia="宋体" w:hAnsi="Times New Roman" w:cs="Times New Roman"/>
          <w:sz w:val="24"/>
          <w:szCs w:val="24"/>
        </w:rPr>
      </w:pPr>
      <w:r w:rsidRPr="00624933">
        <w:rPr>
          <w:rFonts w:ascii="Times New Roman" w:eastAsia="宋体" w:hAnsi="Times New Roman" w:cs="Times New Roman"/>
          <w:sz w:val="24"/>
          <w:szCs w:val="24"/>
        </w:rPr>
        <w:t>6</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w:t>
      </w:r>
      <w:r>
        <w:rPr>
          <w:rFonts w:ascii="Times New Roman" w:eastAsia="宋体" w:hAnsi="Times New Roman" w:cs="Times New Roman"/>
          <w:sz w:val="24"/>
          <w:szCs w:val="24"/>
        </w:rPr>
        <w:t>3</w:t>
      </w:r>
      <w:r w:rsidRPr="00624933">
        <w:rPr>
          <w:rFonts w:ascii="Times New Roman" w:eastAsia="宋体" w:hAnsi="Times New Roman" w:cs="Times New Roman" w:hint="eastAsia"/>
          <w:sz w:val="24"/>
          <w:szCs w:val="24"/>
        </w:rPr>
        <w:t>年</w:t>
      </w:r>
      <w:r>
        <w:rPr>
          <w:rFonts w:ascii="Times New Roman" w:eastAsia="宋体" w:hAnsi="Times New Roman" w:cs="Times New Roman"/>
          <w:sz w:val="24"/>
          <w:szCs w:val="24"/>
        </w:rPr>
        <w:t>1</w:t>
      </w:r>
      <w:r w:rsidRPr="00624933">
        <w:rPr>
          <w:rFonts w:ascii="Times New Roman" w:eastAsia="宋体" w:hAnsi="Times New Roman" w:cs="Times New Roman" w:hint="eastAsia"/>
          <w:sz w:val="24"/>
          <w:szCs w:val="24"/>
        </w:rPr>
        <w:t>月</w:t>
      </w:r>
      <w:r w:rsidRPr="00624933">
        <w:rPr>
          <w:rFonts w:ascii="Times New Roman" w:eastAsia="宋体" w:hAnsi="Times New Roman" w:cs="Times New Roman" w:hint="eastAsia"/>
          <w:sz w:val="24"/>
          <w:szCs w:val="24"/>
        </w:rPr>
        <w:t>~202</w:t>
      </w:r>
      <w:r w:rsidR="0019031C">
        <w:rPr>
          <w:rFonts w:ascii="Times New Roman" w:eastAsia="宋体" w:hAnsi="Times New Roman" w:cs="Times New Roman"/>
          <w:sz w:val="24"/>
          <w:szCs w:val="24"/>
        </w:rPr>
        <w:t>3</w:t>
      </w:r>
      <w:r w:rsidRPr="00624933">
        <w:rPr>
          <w:rFonts w:ascii="Times New Roman" w:eastAsia="宋体" w:hAnsi="Times New Roman" w:cs="Times New Roman" w:hint="eastAsia"/>
          <w:sz w:val="24"/>
          <w:szCs w:val="24"/>
        </w:rPr>
        <w:t>年</w:t>
      </w:r>
      <w:r>
        <w:rPr>
          <w:rFonts w:ascii="Times New Roman" w:eastAsia="宋体" w:hAnsi="Times New Roman" w:cs="Times New Roman"/>
          <w:sz w:val="24"/>
          <w:szCs w:val="24"/>
        </w:rPr>
        <w:t>2</w:t>
      </w:r>
      <w:r w:rsidRPr="00624933">
        <w:rPr>
          <w:rFonts w:ascii="Times New Roman" w:eastAsia="宋体" w:hAnsi="Times New Roman" w:cs="Times New Roman" w:hint="eastAsia"/>
          <w:sz w:val="24"/>
          <w:szCs w:val="24"/>
        </w:rPr>
        <w:t>月初，《规范》</w:t>
      </w:r>
      <w:r w:rsidRPr="00624933">
        <w:rPr>
          <w:rFonts w:ascii="Times New Roman" w:eastAsia="宋体" w:hAnsi="Times New Roman" w:cs="Times New Roman" w:hint="eastAsia"/>
          <w:sz w:val="24"/>
          <w:szCs w:val="24"/>
        </w:rPr>
        <w:t>(</w:t>
      </w:r>
      <w:proofErr w:type="gramStart"/>
      <w:r w:rsidRPr="00624933">
        <w:rPr>
          <w:rFonts w:ascii="Times New Roman" w:eastAsia="宋体" w:hAnsi="Times New Roman" w:cs="Times New Roman" w:hint="eastAsia"/>
          <w:sz w:val="24"/>
          <w:szCs w:val="24"/>
        </w:rPr>
        <w:t>征见稿</w:t>
      </w:r>
      <w:proofErr w:type="gramEnd"/>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及其编制说明面向社会公开征求意见。</w:t>
      </w:r>
    </w:p>
    <w:p w14:paraId="5D18AD97" w14:textId="6726C5FD" w:rsidR="00624933" w:rsidRPr="00624933" w:rsidRDefault="00624933" w:rsidP="00624933">
      <w:pPr>
        <w:spacing w:line="360" w:lineRule="auto"/>
        <w:ind w:firstLineChars="177" w:firstLine="425"/>
        <w:rPr>
          <w:rFonts w:ascii="Times New Roman" w:eastAsia="宋体" w:hAnsi="Times New Roman" w:cs="Times New Roman"/>
          <w:sz w:val="24"/>
          <w:szCs w:val="24"/>
        </w:rPr>
      </w:pPr>
      <w:r w:rsidRPr="00624933">
        <w:rPr>
          <w:rFonts w:ascii="Times New Roman" w:eastAsia="宋体" w:hAnsi="Times New Roman" w:cs="Times New Roman"/>
          <w:sz w:val="24"/>
          <w:szCs w:val="24"/>
        </w:rPr>
        <w:t>7</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202</w:t>
      </w:r>
      <w:r w:rsidR="0019031C">
        <w:rPr>
          <w:rFonts w:ascii="Times New Roman" w:eastAsia="宋体" w:hAnsi="Times New Roman" w:cs="Times New Roman"/>
          <w:sz w:val="24"/>
          <w:szCs w:val="24"/>
        </w:rPr>
        <w:t>3</w:t>
      </w:r>
      <w:r w:rsidRPr="00624933">
        <w:rPr>
          <w:rFonts w:ascii="Times New Roman" w:eastAsia="宋体" w:hAnsi="Times New Roman" w:cs="Times New Roman" w:hint="eastAsia"/>
          <w:sz w:val="24"/>
          <w:szCs w:val="24"/>
        </w:rPr>
        <w:t>年</w:t>
      </w:r>
      <w:r w:rsidR="0019031C">
        <w:rPr>
          <w:rFonts w:ascii="Times New Roman" w:eastAsia="宋体" w:hAnsi="Times New Roman" w:cs="Times New Roman"/>
          <w:sz w:val="24"/>
          <w:szCs w:val="24"/>
        </w:rPr>
        <w:t>3</w:t>
      </w:r>
      <w:r w:rsidRPr="00624933">
        <w:rPr>
          <w:rFonts w:ascii="Times New Roman" w:eastAsia="宋体" w:hAnsi="Times New Roman" w:cs="Times New Roman" w:hint="eastAsia"/>
          <w:sz w:val="24"/>
          <w:szCs w:val="24"/>
        </w:rPr>
        <w:t>月末，项目组根据社会公开征求的意见和建议，形成了《</w:t>
      </w:r>
      <w:r w:rsidR="0019031C">
        <w:rPr>
          <w:rFonts w:ascii="Times New Roman" w:eastAsia="宋体" w:hAnsi="Times New Roman" w:cs="Times New Roman" w:hint="eastAsia"/>
          <w:sz w:val="24"/>
          <w:szCs w:val="24"/>
        </w:rPr>
        <w:t>规范</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w:t>
      </w:r>
      <w:r w:rsidR="005518E7">
        <w:rPr>
          <w:rFonts w:ascii="Times New Roman" w:eastAsia="宋体" w:hAnsi="Times New Roman" w:cs="Times New Roman" w:hint="eastAsia"/>
          <w:sz w:val="24"/>
          <w:szCs w:val="24"/>
        </w:rPr>
        <w:t>征求意见</w:t>
      </w:r>
      <w:r w:rsidRPr="00624933">
        <w:rPr>
          <w:rFonts w:ascii="Times New Roman" w:eastAsia="宋体" w:hAnsi="Times New Roman" w:cs="Times New Roman" w:hint="eastAsia"/>
          <w:sz w:val="24"/>
          <w:szCs w:val="24"/>
        </w:rPr>
        <w:t>稿</w:t>
      </w:r>
      <w:r w:rsidRPr="00624933">
        <w:rPr>
          <w:rFonts w:ascii="Times New Roman" w:eastAsia="宋体" w:hAnsi="Times New Roman" w:cs="Times New Roman" w:hint="eastAsia"/>
          <w:sz w:val="24"/>
          <w:szCs w:val="24"/>
        </w:rPr>
        <w:t>)</w:t>
      </w:r>
      <w:r w:rsidRPr="00624933">
        <w:rPr>
          <w:rFonts w:ascii="Times New Roman" w:eastAsia="宋体" w:hAnsi="Times New Roman" w:cs="Times New Roman" w:hint="eastAsia"/>
          <w:sz w:val="24"/>
          <w:szCs w:val="24"/>
        </w:rPr>
        <w:t>及其编制说明。</w:t>
      </w:r>
    </w:p>
    <w:p w14:paraId="1E428535" w14:textId="77777777" w:rsidR="00C83608" w:rsidRDefault="00000000">
      <w:pPr>
        <w:spacing w:beforeLines="100" w:before="312" w:afterLines="100" w:after="312"/>
        <w:outlineLvl w:val="1"/>
        <w:rPr>
          <w:rFonts w:ascii="Times New Roman" w:hAnsi="Times New Roman" w:cs="Times New Roman"/>
          <w:sz w:val="24"/>
          <w:szCs w:val="24"/>
        </w:rPr>
      </w:pPr>
      <w:r>
        <w:rPr>
          <w:rFonts w:ascii="Times New Roman" w:hAnsi="Times New Roman" w:cs="Times New Roman" w:hint="eastAsia"/>
          <w:sz w:val="24"/>
          <w:szCs w:val="24"/>
        </w:rPr>
        <w:t>1.4</w:t>
      </w:r>
      <w:r>
        <w:rPr>
          <w:rFonts w:ascii="Times New Roman" w:hAnsi="Times New Roman" w:cs="Times New Roman" w:hint="eastAsia"/>
          <w:sz w:val="24"/>
          <w:szCs w:val="24"/>
        </w:rPr>
        <w:t>主要起草人</w:t>
      </w:r>
    </w:p>
    <w:p w14:paraId="78FD1785" w14:textId="77777777" w:rsidR="00C83608" w:rsidRPr="00544CBD"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杜松，博士，中国煤炭地质总局</w:t>
      </w:r>
      <w:r w:rsidR="001C1F41">
        <w:rPr>
          <w:rFonts w:ascii="Times New Roman" w:eastAsia="宋体" w:hAnsi="Times New Roman" w:cs="Times New Roman" w:hint="eastAsia"/>
          <w:sz w:val="24"/>
          <w:szCs w:val="24"/>
        </w:rPr>
        <w:t>勘查研究总院地质封存技术研究所</w:t>
      </w:r>
      <w:r w:rsidR="00544CBD">
        <w:rPr>
          <w:rFonts w:ascii="Times New Roman" w:eastAsia="宋体" w:hAnsi="Times New Roman" w:cs="Times New Roman" w:hint="eastAsia"/>
          <w:sz w:val="24"/>
          <w:szCs w:val="24"/>
        </w:rPr>
        <w:t>所长</w:t>
      </w:r>
      <w:r>
        <w:rPr>
          <w:rFonts w:ascii="Times New Roman" w:eastAsia="宋体" w:hAnsi="Times New Roman" w:cs="Times New Roman" w:hint="eastAsia"/>
          <w:sz w:val="24"/>
          <w:szCs w:val="24"/>
        </w:rPr>
        <w:t>，副研究员，第五届中国科协青年托举人才。</w:t>
      </w:r>
      <w:r w:rsidR="00544CBD" w:rsidRPr="00544CBD">
        <w:rPr>
          <w:rFonts w:ascii="Times New Roman" w:eastAsia="宋体" w:hAnsi="Times New Roman" w:cs="Times New Roman" w:hint="eastAsia"/>
          <w:sz w:val="24"/>
          <w:szCs w:val="24"/>
        </w:rPr>
        <w:t>哈工大环境工程专业博士，斯坦福大学访问学者，中国科协青年托举人才，全国膜与水处理行业专家库专家，</w:t>
      </w:r>
      <w:r w:rsidR="00544CBD" w:rsidRPr="00544CBD">
        <w:rPr>
          <w:rFonts w:ascii="Times New Roman" w:eastAsia="宋体" w:hAnsi="Times New Roman" w:cs="Times New Roman" w:hint="eastAsia"/>
          <w:sz w:val="24"/>
          <w:szCs w:val="24"/>
        </w:rPr>
        <w:t>ADB</w:t>
      </w:r>
      <w:r w:rsidR="00544CBD" w:rsidRPr="00544CBD">
        <w:rPr>
          <w:rFonts w:ascii="Times New Roman" w:eastAsia="宋体" w:hAnsi="Times New Roman" w:cs="Times New Roman" w:hint="eastAsia"/>
          <w:sz w:val="24"/>
          <w:szCs w:val="24"/>
        </w:rPr>
        <w:t>亚洲发展银行专家库专家，</w:t>
      </w:r>
      <w:r w:rsidR="00544CBD" w:rsidRPr="00544CBD">
        <w:rPr>
          <w:rFonts w:ascii="Times New Roman" w:eastAsia="宋体" w:hAnsi="Times New Roman" w:cs="Times New Roman" w:hint="eastAsia"/>
          <w:sz w:val="24"/>
          <w:szCs w:val="24"/>
        </w:rPr>
        <w:t>WRI</w:t>
      </w:r>
      <w:r w:rsidR="00544CBD" w:rsidRPr="00544CBD">
        <w:rPr>
          <w:rFonts w:ascii="Times New Roman" w:eastAsia="宋体" w:hAnsi="Times New Roman" w:cs="Times New Roman" w:hint="eastAsia"/>
          <w:sz w:val="24"/>
          <w:szCs w:val="24"/>
        </w:rPr>
        <w:t>世界资源研究所专家库专家。获省部级科技一等奖</w:t>
      </w:r>
      <w:r w:rsidR="00544CBD" w:rsidRPr="00544CBD">
        <w:rPr>
          <w:rFonts w:ascii="Times New Roman" w:eastAsia="宋体" w:hAnsi="Times New Roman" w:cs="Times New Roman" w:hint="eastAsia"/>
          <w:sz w:val="24"/>
          <w:szCs w:val="24"/>
        </w:rPr>
        <w:t>1</w:t>
      </w:r>
      <w:r w:rsidR="00544CBD" w:rsidRPr="00544CBD">
        <w:rPr>
          <w:rFonts w:ascii="Times New Roman" w:eastAsia="宋体" w:hAnsi="Times New Roman" w:cs="Times New Roman" w:hint="eastAsia"/>
          <w:sz w:val="24"/>
          <w:szCs w:val="24"/>
        </w:rPr>
        <w:t>项目，二等奖</w:t>
      </w:r>
      <w:r w:rsidR="00544CBD" w:rsidRPr="00544CBD">
        <w:rPr>
          <w:rFonts w:ascii="Times New Roman" w:eastAsia="宋体" w:hAnsi="Times New Roman" w:cs="Times New Roman" w:hint="eastAsia"/>
          <w:sz w:val="24"/>
          <w:szCs w:val="24"/>
        </w:rPr>
        <w:t>5</w:t>
      </w:r>
      <w:r w:rsidR="00544CBD" w:rsidRPr="00544CBD">
        <w:rPr>
          <w:rFonts w:ascii="Times New Roman" w:eastAsia="宋体" w:hAnsi="Times New Roman" w:cs="Times New Roman" w:hint="eastAsia"/>
          <w:sz w:val="24"/>
          <w:szCs w:val="24"/>
        </w:rPr>
        <w:t>项，行业奖若干；《煤炭科学技术》环保领域特聘执行主编，《能源与环境保护》编委；参与国家重大课题</w:t>
      </w:r>
      <w:r w:rsidR="00544CBD" w:rsidRPr="00544CBD">
        <w:rPr>
          <w:rFonts w:ascii="Times New Roman" w:eastAsia="宋体" w:hAnsi="Times New Roman" w:cs="Times New Roman" w:hint="eastAsia"/>
          <w:sz w:val="24"/>
          <w:szCs w:val="24"/>
        </w:rPr>
        <w:t>5</w:t>
      </w:r>
      <w:r w:rsidR="00544CBD" w:rsidRPr="00544CBD">
        <w:rPr>
          <w:rFonts w:ascii="Times New Roman" w:eastAsia="宋体" w:hAnsi="Times New Roman" w:cs="Times New Roman" w:hint="eastAsia"/>
          <w:sz w:val="24"/>
          <w:szCs w:val="24"/>
        </w:rPr>
        <w:t>项目，专著</w:t>
      </w:r>
      <w:r w:rsidR="00544CBD" w:rsidRPr="00544CBD">
        <w:rPr>
          <w:rFonts w:ascii="Times New Roman" w:eastAsia="宋体" w:hAnsi="Times New Roman" w:cs="Times New Roman" w:hint="eastAsia"/>
          <w:sz w:val="24"/>
          <w:szCs w:val="24"/>
        </w:rPr>
        <w:t>1</w:t>
      </w:r>
      <w:r w:rsidR="00544CBD" w:rsidRPr="00544CBD">
        <w:rPr>
          <w:rFonts w:ascii="Times New Roman" w:eastAsia="宋体" w:hAnsi="Times New Roman" w:cs="Times New Roman" w:hint="eastAsia"/>
          <w:sz w:val="24"/>
          <w:szCs w:val="24"/>
        </w:rPr>
        <w:t>项，发表科技论文</w:t>
      </w:r>
      <w:r w:rsidR="00544CBD" w:rsidRPr="00544CBD">
        <w:rPr>
          <w:rFonts w:ascii="Times New Roman" w:eastAsia="宋体" w:hAnsi="Times New Roman" w:cs="Times New Roman" w:hint="eastAsia"/>
          <w:sz w:val="24"/>
          <w:szCs w:val="24"/>
        </w:rPr>
        <w:t>30</w:t>
      </w:r>
      <w:r w:rsidR="00544CBD" w:rsidRPr="00544CBD">
        <w:rPr>
          <w:rFonts w:ascii="Times New Roman" w:eastAsia="宋体" w:hAnsi="Times New Roman" w:cs="Times New Roman" w:hint="eastAsia"/>
          <w:sz w:val="24"/>
          <w:szCs w:val="24"/>
        </w:rPr>
        <w:t>余篇；授权发明专利</w:t>
      </w:r>
      <w:r w:rsidR="00544CBD" w:rsidRPr="00544CBD">
        <w:rPr>
          <w:rFonts w:ascii="Times New Roman" w:eastAsia="宋体" w:hAnsi="Times New Roman" w:cs="Times New Roman" w:hint="eastAsia"/>
          <w:sz w:val="24"/>
          <w:szCs w:val="24"/>
        </w:rPr>
        <w:t>20</w:t>
      </w:r>
      <w:r w:rsidR="00544CBD" w:rsidRPr="00544CBD">
        <w:rPr>
          <w:rFonts w:ascii="Times New Roman" w:eastAsia="宋体" w:hAnsi="Times New Roman" w:cs="Times New Roman" w:hint="eastAsia"/>
          <w:sz w:val="24"/>
          <w:szCs w:val="24"/>
        </w:rPr>
        <w:t>余项。国内首先提出采用地质封存技术处理煤矿高盐水的思路与建议。</w:t>
      </w:r>
    </w:p>
    <w:p w14:paraId="207C3E48" w14:textId="1746C70F"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赵岳，博士，中国煤炭地质总局</w:t>
      </w:r>
      <w:r w:rsidR="00544CBD">
        <w:rPr>
          <w:rFonts w:ascii="Times New Roman" w:eastAsia="宋体" w:hAnsi="Times New Roman" w:cs="Times New Roman" w:hint="eastAsia"/>
          <w:sz w:val="24"/>
          <w:szCs w:val="24"/>
        </w:rPr>
        <w:t>地质封存技术研究所</w:t>
      </w:r>
      <w:r>
        <w:rPr>
          <w:rFonts w:ascii="Times New Roman" w:eastAsia="宋体" w:hAnsi="Times New Roman" w:cs="Times New Roman" w:hint="eastAsia"/>
          <w:sz w:val="24"/>
          <w:szCs w:val="24"/>
        </w:rPr>
        <w:t>，</w:t>
      </w:r>
      <w:r w:rsidR="00544CBD" w:rsidRPr="00544CBD">
        <w:rPr>
          <w:rFonts w:ascii="Times New Roman" w:eastAsia="宋体" w:hAnsi="Times New Roman" w:cs="Times New Roman" w:hint="eastAsia"/>
          <w:sz w:val="24"/>
          <w:szCs w:val="24"/>
        </w:rPr>
        <w:t>主任工程师；中国矿业大学（北京）博士；长期从事深井灌注与地质封存技术研究。公开发表学术论文</w:t>
      </w:r>
      <w:r w:rsidR="005518E7">
        <w:rPr>
          <w:rFonts w:ascii="Times New Roman" w:eastAsia="宋体" w:hAnsi="Times New Roman" w:cs="Times New Roman"/>
          <w:sz w:val="24"/>
          <w:szCs w:val="24"/>
        </w:rPr>
        <w:t>3</w:t>
      </w:r>
      <w:r w:rsidR="00544CBD" w:rsidRPr="00544CBD">
        <w:rPr>
          <w:rFonts w:ascii="Times New Roman" w:eastAsia="宋体" w:hAnsi="Times New Roman" w:cs="Times New Roman" w:hint="eastAsia"/>
          <w:sz w:val="24"/>
          <w:szCs w:val="24"/>
        </w:rPr>
        <w:t>0</w:t>
      </w:r>
      <w:r w:rsidR="00544CBD" w:rsidRPr="00544CBD">
        <w:rPr>
          <w:rFonts w:ascii="Times New Roman" w:eastAsia="宋体" w:hAnsi="Times New Roman" w:cs="Times New Roman" w:hint="eastAsia"/>
          <w:sz w:val="24"/>
          <w:szCs w:val="24"/>
        </w:rPr>
        <w:t>余篇，其中</w:t>
      </w:r>
      <w:r w:rsidR="00544CBD" w:rsidRPr="00544CBD">
        <w:rPr>
          <w:rFonts w:ascii="Times New Roman" w:eastAsia="宋体" w:hAnsi="Times New Roman" w:cs="Times New Roman" w:hint="eastAsia"/>
          <w:sz w:val="24"/>
          <w:szCs w:val="24"/>
        </w:rPr>
        <w:t>SCI</w:t>
      </w:r>
      <w:r w:rsidR="00544CBD" w:rsidRPr="00544CBD">
        <w:rPr>
          <w:rFonts w:ascii="Times New Roman" w:eastAsia="宋体" w:hAnsi="Times New Roman" w:cs="Times New Roman" w:hint="eastAsia"/>
          <w:sz w:val="24"/>
          <w:szCs w:val="24"/>
        </w:rPr>
        <w:t>期刊</w:t>
      </w:r>
      <w:r w:rsidR="005518E7">
        <w:rPr>
          <w:rFonts w:ascii="Times New Roman" w:eastAsia="宋体" w:hAnsi="Times New Roman" w:cs="Times New Roman"/>
          <w:sz w:val="24"/>
          <w:szCs w:val="24"/>
        </w:rPr>
        <w:t>6</w:t>
      </w:r>
      <w:r w:rsidR="00544CBD" w:rsidRPr="00544CBD">
        <w:rPr>
          <w:rFonts w:ascii="Times New Roman" w:eastAsia="宋体" w:hAnsi="Times New Roman" w:cs="Times New Roman" w:hint="eastAsia"/>
          <w:sz w:val="24"/>
          <w:szCs w:val="24"/>
        </w:rPr>
        <w:t>篇、中文核心期刊</w:t>
      </w:r>
      <w:r w:rsidR="00544CBD" w:rsidRPr="00544CBD">
        <w:rPr>
          <w:rFonts w:ascii="Times New Roman" w:eastAsia="宋体" w:hAnsi="Times New Roman" w:cs="Times New Roman" w:hint="eastAsia"/>
          <w:sz w:val="24"/>
          <w:szCs w:val="24"/>
        </w:rPr>
        <w:t>9</w:t>
      </w:r>
      <w:r w:rsidR="00544CBD" w:rsidRPr="00544CBD">
        <w:rPr>
          <w:rFonts w:ascii="Times New Roman" w:eastAsia="宋体" w:hAnsi="Times New Roman" w:cs="Times New Roman" w:hint="eastAsia"/>
          <w:sz w:val="24"/>
          <w:szCs w:val="24"/>
        </w:rPr>
        <w:t>篇；授权专利</w:t>
      </w:r>
      <w:r w:rsidR="00544CBD" w:rsidRPr="00544CBD">
        <w:rPr>
          <w:rFonts w:ascii="Times New Roman" w:eastAsia="宋体" w:hAnsi="Times New Roman" w:cs="Times New Roman" w:hint="eastAsia"/>
          <w:sz w:val="24"/>
          <w:szCs w:val="24"/>
        </w:rPr>
        <w:t>6</w:t>
      </w:r>
      <w:r w:rsidR="00544CBD" w:rsidRPr="00544CBD">
        <w:rPr>
          <w:rFonts w:ascii="Times New Roman" w:eastAsia="宋体" w:hAnsi="Times New Roman" w:cs="Times New Roman" w:hint="eastAsia"/>
          <w:sz w:val="24"/>
          <w:szCs w:val="24"/>
        </w:rPr>
        <w:t>项，其中发明专利</w:t>
      </w:r>
      <w:r w:rsidR="00544CBD" w:rsidRPr="00544CBD">
        <w:rPr>
          <w:rFonts w:ascii="Times New Roman" w:eastAsia="宋体" w:hAnsi="Times New Roman" w:cs="Times New Roman" w:hint="eastAsia"/>
          <w:sz w:val="24"/>
          <w:szCs w:val="24"/>
        </w:rPr>
        <w:t>3</w:t>
      </w:r>
      <w:r w:rsidR="00544CBD" w:rsidRPr="00544CBD">
        <w:rPr>
          <w:rFonts w:ascii="Times New Roman" w:eastAsia="宋体" w:hAnsi="Times New Roman" w:cs="Times New Roman" w:hint="eastAsia"/>
          <w:sz w:val="24"/>
          <w:szCs w:val="24"/>
        </w:rPr>
        <w:t>项；软件著作权</w:t>
      </w:r>
      <w:r w:rsidR="00544CBD" w:rsidRPr="00544CBD">
        <w:rPr>
          <w:rFonts w:ascii="Times New Roman" w:eastAsia="宋体" w:hAnsi="Times New Roman" w:cs="Times New Roman" w:hint="eastAsia"/>
          <w:sz w:val="24"/>
          <w:szCs w:val="24"/>
        </w:rPr>
        <w:t>5</w:t>
      </w:r>
      <w:r w:rsidR="00544CBD" w:rsidRPr="00544CBD">
        <w:rPr>
          <w:rFonts w:ascii="Times New Roman" w:eastAsia="宋体" w:hAnsi="Times New Roman" w:cs="Times New Roman" w:hint="eastAsia"/>
          <w:sz w:val="24"/>
          <w:szCs w:val="24"/>
        </w:rPr>
        <w:t>项。获得省部级奖项</w:t>
      </w:r>
      <w:r w:rsidR="00544CBD" w:rsidRPr="00544CBD">
        <w:rPr>
          <w:rFonts w:ascii="Times New Roman" w:eastAsia="宋体" w:hAnsi="Times New Roman" w:cs="Times New Roman" w:hint="eastAsia"/>
          <w:sz w:val="24"/>
          <w:szCs w:val="24"/>
        </w:rPr>
        <w:t>6</w:t>
      </w:r>
      <w:r w:rsidR="00544CBD" w:rsidRPr="00544CBD">
        <w:rPr>
          <w:rFonts w:ascii="Times New Roman" w:eastAsia="宋体" w:hAnsi="Times New Roman" w:cs="Times New Roman" w:hint="eastAsia"/>
          <w:sz w:val="24"/>
          <w:szCs w:val="24"/>
        </w:rPr>
        <w:t>项，厅局级奖项</w:t>
      </w:r>
      <w:r w:rsidR="00544CBD" w:rsidRPr="00544CBD">
        <w:rPr>
          <w:rFonts w:ascii="Times New Roman" w:eastAsia="宋体" w:hAnsi="Times New Roman" w:cs="Times New Roman" w:hint="eastAsia"/>
          <w:sz w:val="24"/>
          <w:szCs w:val="24"/>
        </w:rPr>
        <w:t>4</w:t>
      </w:r>
      <w:r w:rsidR="00544CBD" w:rsidRPr="00544CBD">
        <w:rPr>
          <w:rFonts w:ascii="Times New Roman" w:eastAsia="宋体" w:hAnsi="Times New Roman" w:cs="Times New Roman" w:hint="eastAsia"/>
          <w:sz w:val="24"/>
          <w:szCs w:val="24"/>
        </w:rPr>
        <w:t>项</w:t>
      </w:r>
      <w:r>
        <w:rPr>
          <w:rFonts w:ascii="Times New Roman" w:eastAsia="宋体" w:hAnsi="Times New Roman" w:cs="Times New Roman" w:hint="eastAsia"/>
          <w:sz w:val="24"/>
          <w:szCs w:val="24"/>
        </w:rPr>
        <w:t>。在本团</w:t>
      </w:r>
      <w:proofErr w:type="gramStart"/>
      <w:r>
        <w:rPr>
          <w:rFonts w:ascii="Times New Roman" w:eastAsia="宋体" w:hAnsi="Times New Roman" w:cs="Times New Roman" w:hint="eastAsia"/>
          <w:sz w:val="24"/>
          <w:szCs w:val="24"/>
        </w:rPr>
        <w:t>标研究</w:t>
      </w:r>
      <w:proofErr w:type="gramEnd"/>
      <w:r>
        <w:rPr>
          <w:rFonts w:ascii="Times New Roman" w:eastAsia="宋体" w:hAnsi="Times New Roman" w:cs="Times New Roman" w:hint="eastAsia"/>
          <w:sz w:val="24"/>
          <w:szCs w:val="24"/>
        </w:rPr>
        <w:t>工作中承担技术标准研究等主要工作。</w:t>
      </w:r>
    </w:p>
    <w:p w14:paraId="596E1876" w14:textId="77777777" w:rsidR="00C83608" w:rsidRDefault="00000000">
      <w:pPr>
        <w:outlineLvl w:val="0"/>
        <w:rPr>
          <w:b/>
          <w:bCs/>
          <w:sz w:val="28"/>
          <w:szCs w:val="28"/>
        </w:rPr>
      </w:pPr>
      <w:r>
        <w:rPr>
          <w:rFonts w:hint="eastAsia"/>
          <w:b/>
          <w:bCs/>
          <w:sz w:val="28"/>
          <w:szCs w:val="28"/>
        </w:rPr>
        <w:t>二、主要技术内容</w:t>
      </w:r>
      <w:r w:rsidR="007C0A5F">
        <w:rPr>
          <w:rFonts w:hint="eastAsia"/>
          <w:b/>
          <w:bCs/>
          <w:sz w:val="28"/>
          <w:szCs w:val="28"/>
        </w:rPr>
        <w:t>的论据及主要内容说明</w:t>
      </w:r>
    </w:p>
    <w:p w14:paraId="6FAD4B91" w14:textId="77777777" w:rsidR="007C0A5F" w:rsidRDefault="007C0A5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sz w:val="24"/>
          <w:szCs w:val="24"/>
        </w:rPr>
        <w:t xml:space="preserve">.1 </w:t>
      </w:r>
      <w:r>
        <w:rPr>
          <w:rFonts w:ascii="Times New Roman" w:eastAsia="宋体" w:hAnsi="Times New Roman" w:cs="Times New Roman" w:hint="eastAsia"/>
          <w:sz w:val="24"/>
          <w:szCs w:val="24"/>
        </w:rPr>
        <w:t>标准主要内容的依据</w:t>
      </w:r>
    </w:p>
    <w:p w14:paraId="6638FEAC" w14:textId="77777777" w:rsidR="007C0A5F" w:rsidRDefault="007C0A5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Pr="007C0A5F">
        <w:rPr>
          <w:rFonts w:ascii="Times New Roman" w:eastAsia="宋体" w:hAnsi="Times New Roman" w:cs="Times New Roman" w:hint="eastAsia"/>
          <w:sz w:val="24"/>
          <w:szCs w:val="24"/>
        </w:rPr>
        <w:t>本文件按照</w:t>
      </w:r>
      <w:r w:rsidRPr="007C0A5F">
        <w:rPr>
          <w:rFonts w:ascii="Times New Roman" w:eastAsia="宋体" w:hAnsi="Times New Roman" w:cs="Times New Roman" w:hint="eastAsia"/>
          <w:sz w:val="24"/>
          <w:szCs w:val="24"/>
        </w:rPr>
        <w:t>GB/T 1.1</w:t>
      </w:r>
      <w:r w:rsidRPr="007C0A5F">
        <w:rPr>
          <w:rFonts w:ascii="Times New Roman" w:eastAsia="宋体" w:hAnsi="Times New Roman" w:cs="Times New Roman" w:hint="eastAsia"/>
          <w:sz w:val="24"/>
          <w:szCs w:val="24"/>
        </w:rPr>
        <w:t>—</w:t>
      </w:r>
      <w:r w:rsidRPr="007C0A5F">
        <w:rPr>
          <w:rFonts w:ascii="Times New Roman" w:eastAsia="宋体" w:hAnsi="Times New Roman" w:cs="Times New Roman" w:hint="eastAsia"/>
          <w:sz w:val="24"/>
          <w:szCs w:val="24"/>
        </w:rPr>
        <w:t>2020</w:t>
      </w:r>
      <w:r w:rsidRPr="007C0A5F">
        <w:rPr>
          <w:rFonts w:ascii="Times New Roman" w:eastAsia="宋体" w:hAnsi="Times New Roman" w:cs="Times New Roman" w:hint="eastAsia"/>
          <w:sz w:val="24"/>
          <w:szCs w:val="24"/>
        </w:rPr>
        <w:t>《标准化工作导则</w:t>
      </w:r>
      <w:r w:rsidRPr="007C0A5F">
        <w:rPr>
          <w:rFonts w:ascii="Times New Roman" w:eastAsia="宋体" w:hAnsi="Times New Roman" w:cs="Times New Roman" w:hint="eastAsia"/>
          <w:sz w:val="24"/>
          <w:szCs w:val="24"/>
        </w:rPr>
        <w:t xml:space="preserve">  </w:t>
      </w:r>
      <w:r w:rsidRPr="007C0A5F">
        <w:rPr>
          <w:rFonts w:ascii="Times New Roman" w:eastAsia="宋体" w:hAnsi="Times New Roman" w:cs="Times New Roman" w:hint="eastAsia"/>
          <w:sz w:val="24"/>
          <w:szCs w:val="24"/>
        </w:rPr>
        <w:t>第</w:t>
      </w:r>
      <w:r w:rsidRPr="007C0A5F">
        <w:rPr>
          <w:rFonts w:ascii="Times New Roman" w:eastAsia="宋体" w:hAnsi="Times New Roman" w:cs="Times New Roman" w:hint="eastAsia"/>
          <w:sz w:val="24"/>
          <w:szCs w:val="24"/>
        </w:rPr>
        <w:t>1</w:t>
      </w:r>
      <w:r w:rsidRPr="007C0A5F">
        <w:rPr>
          <w:rFonts w:ascii="Times New Roman" w:eastAsia="宋体" w:hAnsi="Times New Roman" w:cs="Times New Roman" w:hint="eastAsia"/>
          <w:sz w:val="24"/>
          <w:szCs w:val="24"/>
        </w:rPr>
        <w:t>部分：标准化文件的结构和起草规则》的规定起草。</w:t>
      </w:r>
    </w:p>
    <w:p w14:paraId="338EF636" w14:textId="77777777" w:rsidR="00C83608" w:rsidRDefault="007C0A5F">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lastRenderedPageBreak/>
        <w:t>（</w:t>
      </w: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）本文件以研究示范项目为依托，深入了解深井灌注技术，技术概念及技术特征对标美国</w:t>
      </w:r>
      <w:r>
        <w:rPr>
          <w:rFonts w:ascii="Times New Roman" w:eastAsia="宋体" w:hAnsi="Times New Roman" w:cs="Times New Roman" w:hint="eastAsia"/>
          <w:sz w:val="24"/>
          <w:szCs w:val="24"/>
        </w:rPr>
        <w:t>U</w:t>
      </w:r>
      <w:r>
        <w:rPr>
          <w:rFonts w:ascii="Times New Roman" w:eastAsia="宋体" w:hAnsi="Times New Roman" w:cs="Times New Roman"/>
          <w:sz w:val="24"/>
          <w:szCs w:val="24"/>
        </w:rPr>
        <w:t>IC</w:t>
      </w:r>
      <w:r>
        <w:rPr>
          <w:rFonts w:ascii="Times New Roman" w:eastAsia="宋体" w:hAnsi="Times New Roman" w:cs="Times New Roman" w:hint="eastAsia"/>
          <w:sz w:val="24"/>
          <w:szCs w:val="24"/>
        </w:rPr>
        <w:t>法案相关技术规范及管理办法、以及</w:t>
      </w:r>
      <w:r w:rsidRPr="00376AED">
        <w:rPr>
          <w:rFonts w:ascii="Times New Roman" w:eastAsia="宋体" w:hAnsi="Times New Roman" w:cs="Times New Roman" w:hint="eastAsia"/>
          <w:sz w:val="24"/>
          <w:szCs w:val="24"/>
        </w:rPr>
        <w:t>相关文献</w:t>
      </w:r>
      <w:r>
        <w:rPr>
          <w:rFonts w:ascii="Times New Roman" w:eastAsia="宋体" w:hAnsi="Times New Roman" w:cs="Times New Roman" w:hint="eastAsia"/>
          <w:sz w:val="24"/>
          <w:szCs w:val="24"/>
        </w:rPr>
        <w:t>等，同时结合我国实际环保要求及地质条件，研究制定出适合我国煤矿行业的矿井水深井灌注技术规范。</w:t>
      </w:r>
    </w:p>
    <w:p w14:paraId="0E883469" w14:textId="77777777" w:rsidR="007C0A5F" w:rsidRPr="007C0A5F" w:rsidRDefault="007C0A5F" w:rsidP="007C0A5F">
      <w:pPr>
        <w:pStyle w:val="a0"/>
        <w:spacing w:after="0" w:line="360" w:lineRule="auto"/>
        <w:ind w:firstLineChars="200" w:firstLine="480"/>
        <w:rPr>
          <w:rFonts w:ascii="Times New Roman" w:eastAsia="宋体" w:hAnsi="Times New Roman" w:cs="Times New Roman"/>
          <w:sz w:val="24"/>
          <w:szCs w:val="24"/>
        </w:rPr>
      </w:pPr>
      <w:r w:rsidRPr="007C0A5F">
        <w:rPr>
          <w:rFonts w:ascii="Times New Roman" w:eastAsia="宋体" w:hAnsi="Times New Roman" w:cs="Times New Roman" w:hint="eastAsia"/>
          <w:sz w:val="24"/>
          <w:szCs w:val="24"/>
        </w:rPr>
        <w:t>（</w:t>
      </w:r>
      <w:r w:rsidRPr="007C0A5F">
        <w:rPr>
          <w:rFonts w:ascii="Times New Roman" w:eastAsia="宋体" w:hAnsi="Times New Roman" w:cs="Times New Roman" w:hint="eastAsia"/>
          <w:sz w:val="24"/>
          <w:szCs w:val="24"/>
        </w:rPr>
        <w:t>3</w:t>
      </w:r>
      <w:r w:rsidRPr="007C0A5F">
        <w:rPr>
          <w:rFonts w:ascii="Times New Roman" w:eastAsia="宋体" w:hAnsi="Times New Roman" w:cs="Times New Roman" w:hint="eastAsia"/>
          <w:sz w:val="24"/>
          <w:szCs w:val="24"/>
        </w:rPr>
        <w:t>）参考的主要标准包括：</w:t>
      </w:r>
    </w:p>
    <w:p w14:paraId="1731A417" w14:textId="77777777"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 xml:space="preserve">GB 20426 </w:t>
      </w:r>
      <w:r w:rsidRPr="005518E7">
        <w:rPr>
          <w:rFonts w:ascii="Times New Roman" w:eastAsia="宋体" w:hAnsi="Times New Roman" w:cs="Times New Roman" w:hint="eastAsia"/>
          <w:sz w:val="24"/>
          <w:szCs w:val="24"/>
        </w:rPr>
        <w:t>煤炭工业污染物排放标准</w:t>
      </w:r>
      <w:r w:rsidRPr="005518E7">
        <w:rPr>
          <w:rFonts w:ascii="Times New Roman" w:eastAsia="宋体" w:hAnsi="Times New Roman" w:cs="Times New Roman" w:hint="eastAsia"/>
          <w:sz w:val="24"/>
          <w:szCs w:val="24"/>
        </w:rPr>
        <w:t xml:space="preserve"> </w:t>
      </w:r>
    </w:p>
    <w:p w14:paraId="6670B93B" w14:textId="77777777"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 xml:space="preserve">GB 3838 </w:t>
      </w:r>
      <w:r w:rsidRPr="005518E7">
        <w:rPr>
          <w:rFonts w:ascii="Times New Roman" w:eastAsia="宋体" w:hAnsi="Times New Roman" w:cs="Times New Roman" w:hint="eastAsia"/>
          <w:sz w:val="24"/>
          <w:szCs w:val="24"/>
        </w:rPr>
        <w:t>地表水环境质量标准</w:t>
      </w:r>
      <w:r w:rsidRPr="005518E7">
        <w:rPr>
          <w:rFonts w:ascii="Times New Roman" w:eastAsia="宋体" w:hAnsi="Times New Roman" w:cs="Times New Roman" w:hint="eastAsia"/>
          <w:sz w:val="24"/>
          <w:szCs w:val="24"/>
        </w:rPr>
        <w:t xml:space="preserve"> </w:t>
      </w:r>
    </w:p>
    <w:p w14:paraId="0D7EF317" w14:textId="77777777"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 xml:space="preserve">GB/T 14848 </w:t>
      </w:r>
      <w:r w:rsidRPr="005518E7">
        <w:rPr>
          <w:rFonts w:ascii="Times New Roman" w:eastAsia="宋体" w:hAnsi="Times New Roman" w:cs="Times New Roman" w:hint="eastAsia"/>
          <w:sz w:val="24"/>
          <w:szCs w:val="24"/>
        </w:rPr>
        <w:t>地下水质量标准</w:t>
      </w:r>
    </w:p>
    <w:p w14:paraId="5A4066FC" w14:textId="77777777"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 xml:space="preserve">GB 18598 </w:t>
      </w:r>
      <w:r w:rsidRPr="005518E7">
        <w:rPr>
          <w:rFonts w:ascii="Times New Roman" w:eastAsia="宋体" w:hAnsi="Times New Roman" w:cs="Times New Roman" w:hint="eastAsia"/>
          <w:sz w:val="24"/>
          <w:szCs w:val="24"/>
        </w:rPr>
        <w:t>危险废物填埋污染控制标准</w:t>
      </w:r>
      <w:r w:rsidRPr="005518E7">
        <w:rPr>
          <w:rFonts w:ascii="Times New Roman" w:eastAsia="宋体" w:hAnsi="Times New Roman" w:cs="Times New Roman" w:hint="eastAsia"/>
          <w:sz w:val="24"/>
          <w:szCs w:val="24"/>
        </w:rPr>
        <w:t xml:space="preserve"> </w:t>
      </w:r>
    </w:p>
    <w:p w14:paraId="73BBC323" w14:textId="77777777"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 xml:space="preserve">DB37/T 4310 </w:t>
      </w:r>
      <w:r w:rsidRPr="005518E7">
        <w:rPr>
          <w:rFonts w:ascii="Times New Roman" w:eastAsia="宋体" w:hAnsi="Times New Roman" w:cs="Times New Roman" w:hint="eastAsia"/>
          <w:sz w:val="24"/>
          <w:szCs w:val="24"/>
        </w:rPr>
        <w:t>地热尾水回灌技术规程</w:t>
      </w:r>
      <w:r w:rsidRPr="005518E7">
        <w:rPr>
          <w:rFonts w:ascii="Times New Roman" w:eastAsia="宋体" w:hAnsi="Times New Roman" w:cs="Times New Roman" w:hint="eastAsia"/>
          <w:sz w:val="24"/>
          <w:szCs w:val="24"/>
        </w:rPr>
        <w:t xml:space="preserve"> </w:t>
      </w:r>
    </w:p>
    <w:p w14:paraId="0539FDA5" w14:textId="77777777"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 xml:space="preserve">Q/SY 01004 </w:t>
      </w:r>
      <w:r w:rsidRPr="005518E7">
        <w:rPr>
          <w:rFonts w:ascii="Times New Roman" w:eastAsia="宋体" w:hAnsi="Times New Roman" w:cs="Times New Roman" w:hint="eastAsia"/>
          <w:sz w:val="24"/>
          <w:szCs w:val="24"/>
        </w:rPr>
        <w:t>气田水回注技术规范</w:t>
      </w:r>
      <w:r w:rsidRPr="005518E7">
        <w:rPr>
          <w:rFonts w:ascii="Times New Roman" w:eastAsia="宋体" w:hAnsi="Times New Roman" w:cs="Times New Roman" w:hint="eastAsia"/>
          <w:sz w:val="24"/>
          <w:szCs w:val="24"/>
        </w:rPr>
        <w:t xml:space="preserve"> </w:t>
      </w:r>
    </w:p>
    <w:p w14:paraId="1CC45406" w14:textId="77777777"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 xml:space="preserve">SY/T 6596 </w:t>
      </w:r>
      <w:r w:rsidRPr="005518E7">
        <w:rPr>
          <w:rFonts w:ascii="Times New Roman" w:eastAsia="宋体" w:hAnsi="Times New Roman" w:cs="Times New Roman" w:hint="eastAsia"/>
          <w:sz w:val="24"/>
          <w:szCs w:val="24"/>
        </w:rPr>
        <w:t>气田水注入技术要求</w:t>
      </w:r>
    </w:p>
    <w:p w14:paraId="32D81CAF" w14:textId="77777777"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 xml:space="preserve">SY/T 5329 </w:t>
      </w:r>
      <w:r w:rsidRPr="005518E7">
        <w:rPr>
          <w:rFonts w:ascii="Times New Roman" w:eastAsia="宋体" w:hAnsi="Times New Roman" w:cs="Times New Roman" w:hint="eastAsia"/>
          <w:sz w:val="24"/>
          <w:szCs w:val="24"/>
        </w:rPr>
        <w:t>碎屑岩油藏注水水质推荐指标及分析方法</w:t>
      </w:r>
    </w:p>
    <w:p w14:paraId="27D12963" w14:textId="77777777"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 xml:space="preserve">SY/T 6881 </w:t>
      </w:r>
      <w:r w:rsidRPr="005518E7">
        <w:rPr>
          <w:rFonts w:ascii="Times New Roman" w:eastAsia="宋体" w:hAnsi="Times New Roman" w:cs="Times New Roman" w:hint="eastAsia"/>
          <w:sz w:val="24"/>
          <w:szCs w:val="24"/>
        </w:rPr>
        <w:t>高含硫气田水处理及回注工程设计规范</w:t>
      </w:r>
    </w:p>
    <w:p w14:paraId="1E2D7D34" w14:textId="77777777"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 xml:space="preserve">Q/SY DQ0605 </w:t>
      </w:r>
      <w:r w:rsidRPr="005518E7">
        <w:rPr>
          <w:rFonts w:ascii="Times New Roman" w:eastAsia="宋体" w:hAnsi="Times New Roman" w:cs="Times New Roman" w:hint="eastAsia"/>
          <w:sz w:val="24"/>
          <w:szCs w:val="24"/>
        </w:rPr>
        <w:t>大庆油田油藏水驱注水水质指标及分析方法</w:t>
      </w:r>
    </w:p>
    <w:p w14:paraId="5228FD3F" w14:textId="77777777"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 xml:space="preserve">DZ/T 0148 </w:t>
      </w:r>
      <w:r w:rsidRPr="005518E7">
        <w:rPr>
          <w:rFonts w:ascii="Times New Roman" w:eastAsia="宋体" w:hAnsi="Times New Roman" w:cs="Times New Roman" w:hint="eastAsia"/>
          <w:sz w:val="24"/>
          <w:szCs w:val="24"/>
        </w:rPr>
        <w:t>水文水井地质钻探规程</w:t>
      </w:r>
    </w:p>
    <w:p w14:paraId="4340ABA5" w14:textId="77777777" w:rsid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 xml:space="preserve">DZ/T 227 </w:t>
      </w:r>
      <w:r w:rsidRPr="005518E7">
        <w:rPr>
          <w:rFonts w:ascii="Times New Roman" w:eastAsia="宋体" w:hAnsi="Times New Roman" w:cs="Times New Roman" w:hint="eastAsia"/>
          <w:sz w:val="24"/>
          <w:szCs w:val="24"/>
        </w:rPr>
        <w:t>地质岩心钻探规程</w:t>
      </w:r>
    </w:p>
    <w:p w14:paraId="02B55B76" w14:textId="483563C1" w:rsidR="007C0A5F" w:rsidRPr="007C0A5F" w:rsidRDefault="007C0A5F" w:rsidP="005518E7">
      <w:pPr>
        <w:spacing w:line="360" w:lineRule="auto"/>
        <w:ind w:firstLineChars="200" w:firstLine="480"/>
        <w:rPr>
          <w:rFonts w:ascii="Times New Roman" w:eastAsia="宋体" w:hAnsi="Times New Roman" w:cs="Times New Roman"/>
          <w:sz w:val="24"/>
          <w:szCs w:val="24"/>
        </w:rPr>
      </w:pPr>
      <w:r w:rsidRPr="007C0A5F">
        <w:rPr>
          <w:rFonts w:ascii="Times New Roman" w:eastAsia="宋体" w:hAnsi="Times New Roman" w:cs="Times New Roman" w:hint="eastAsia"/>
          <w:sz w:val="24"/>
          <w:szCs w:val="24"/>
        </w:rPr>
        <w:t>2</w:t>
      </w:r>
      <w:r w:rsidRPr="007C0A5F">
        <w:rPr>
          <w:rFonts w:ascii="Times New Roman" w:eastAsia="宋体" w:hAnsi="Times New Roman" w:cs="Times New Roman"/>
          <w:sz w:val="24"/>
          <w:szCs w:val="24"/>
        </w:rPr>
        <w:t xml:space="preserve">.2 </w:t>
      </w:r>
      <w:r w:rsidRPr="007C0A5F">
        <w:rPr>
          <w:rFonts w:ascii="Times New Roman" w:eastAsia="宋体" w:hAnsi="Times New Roman" w:cs="Times New Roman" w:hint="eastAsia"/>
          <w:sz w:val="24"/>
          <w:szCs w:val="24"/>
        </w:rPr>
        <w:t>标准主要技术内容的论据及说明</w:t>
      </w:r>
    </w:p>
    <w:p w14:paraId="028270AC"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现阶段主要从灌注区地质要求、灌注（封存）水质要求、灌注</w:t>
      </w:r>
      <w:proofErr w:type="gramStart"/>
      <w:r>
        <w:rPr>
          <w:rFonts w:ascii="Times New Roman" w:eastAsia="宋体" w:hAnsi="Times New Roman" w:cs="Times New Roman" w:hint="eastAsia"/>
          <w:sz w:val="24"/>
          <w:szCs w:val="24"/>
        </w:rPr>
        <w:t>井建设</w:t>
      </w:r>
      <w:proofErr w:type="gramEnd"/>
      <w:r>
        <w:rPr>
          <w:rFonts w:ascii="Times New Roman" w:eastAsia="宋体" w:hAnsi="Times New Roman" w:cs="Times New Roman" w:hint="eastAsia"/>
          <w:sz w:val="24"/>
          <w:szCs w:val="24"/>
        </w:rPr>
        <w:t>要求</w:t>
      </w:r>
      <w:r w:rsidR="00330899">
        <w:rPr>
          <w:rFonts w:ascii="Times New Roman" w:eastAsia="宋体" w:hAnsi="Times New Roman" w:cs="Times New Roman" w:hint="eastAsia"/>
          <w:sz w:val="24"/>
          <w:szCs w:val="24"/>
        </w:rPr>
        <w:t>、</w:t>
      </w:r>
      <w:r w:rsidR="00330899" w:rsidRPr="00330899">
        <w:rPr>
          <w:rFonts w:ascii="Times New Roman" w:eastAsia="宋体" w:hAnsi="Times New Roman" w:cs="Times New Roman" w:hint="eastAsia"/>
          <w:sz w:val="24"/>
          <w:szCs w:val="24"/>
        </w:rPr>
        <w:t>灌注工程技术</w:t>
      </w:r>
      <w:r w:rsidR="00330899">
        <w:rPr>
          <w:rFonts w:ascii="Times New Roman" w:eastAsia="宋体" w:hAnsi="Times New Roman" w:cs="Times New Roman" w:hint="eastAsia"/>
          <w:sz w:val="24"/>
          <w:szCs w:val="24"/>
        </w:rPr>
        <w:t>、监测与闭井要求</w:t>
      </w:r>
      <w:r>
        <w:rPr>
          <w:rFonts w:ascii="Times New Roman" w:eastAsia="宋体" w:hAnsi="Times New Roman" w:cs="Times New Roman" w:hint="eastAsia"/>
          <w:sz w:val="24"/>
          <w:szCs w:val="24"/>
        </w:rPr>
        <w:t>，经过深入研究</w:t>
      </w:r>
      <w:r w:rsidR="00330899">
        <w:rPr>
          <w:rFonts w:ascii="Times New Roman" w:eastAsia="宋体" w:hAnsi="Times New Roman" w:cs="Times New Roman" w:hint="eastAsia"/>
          <w:sz w:val="24"/>
          <w:szCs w:val="24"/>
        </w:rPr>
        <w:t>与专家论证</w:t>
      </w:r>
      <w:r>
        <w:rPr>
          <w:rFonts w:ascii="Times New Roman" w:eastAsia="宋体" w:hAnsi="Times New Roman" w:cs="Times New Roman" w:hint="eastAsia"/>
          <w:sz w:val="24"/>
          <w:szCs w:val="24"/>
        </w:rPr>
        <w:t>，</w:t>
      </w:r>
      <w:r w:rsidR="00330899">
        <w:rPr>
          <w:rFonts w:ascii="Times New Roman" w:eastAsia="宋体" w:hAnsi="Times New Roman" w:cs="Times New Roman" w:hint="eastAsia"/>
          <w:sz w:val="24"/>
          <w:szCs w:val="24"/>
        </w:rPr>
        <w:t>提出如下规范</w:t>
      </w:r>
      <w:r>
        <w:rPr>
          <w:rFonts w:ascii="Times New Roman" w:eastAsia="宋体" w:hAnsi="Times New Roman" w:cs="Times New Roman" w:hint="eastAsia"/>
          <w:sz w:val="24"/>
          <w:szCs w:val="24"/>
        </w:rPr>
        <w:t>。</w:t>
      </w:r>
    </w:p>
    <w:p w14:paraId="61292FCE" w14:textId="77777777" w:rsidR="00C83608" w:rsidRDefault="007C0A5F" w:rsidP="00376AED">
      <w:pPr>
        <w:spacing w:beforeLines="100" w:before="312" w:afterLines="100" w:after="312"/>
        <w:ind w:firstLineChars="177" w:firstLine="425"/>
        <w:outlineLvl w:val="1"/>
        <w:rPr>
          <w:rFonts w:ascii="Times New Roman" w:hAnsi="Times New Roman" w:cs="Times New Roman"/>
          <w:sz w:val="24"/>
          <w:szCs w:val="24"/>
        </w:rPr>
      </w:pP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1</w:t>
      </w:r>
      <w:r>
        <w:rPr>
          <w:rFonts w:ascii="Times New Roman" w:eastAsia="宋体" w:hAnsi="Times New Roman" w:cs="Times New Roman" w:hint="eastAsia"/>
          <w:sz w:val="24"/>
          <w:szCs w:val="24"/>
        </w:rPr>
        <w:t>）</w:t>
      </w:r>
      <w:r w:rsidRPr="00376AED">
        <w:rPr>
          <w:rFonts w:ascii="Times New Roman" w:eastAsia="宋体" w:hAnsi="Times New Roman" w:cs="Times New Roman" w:hint="eastAsia"/>
          <w:sz w:val="24"/>
          <w:szCs w:val="24"/>
        </w:rPr>
        <w:t>灌注区域地质</w:t>
      </w:r>
      <w:r>
        <w:rPr>
          <w:rFonts w:ascii="Times New Roman" w:hAnsi="Times New Roman" w:cs="Times New Roman" w:hint="eastAsia"/>
          <w:sz w:val="24"/>
          <w:szCs w:val="24"/>
        </w:rPr>
        <w:t>要求</w:t>
      </w:r>
    </w:p>
    <w:p w14:paraId="48BF631C" w14:textId="77777777"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灌注层在区域上构造简单，地质构造简单，平均倾角小于</w:t>
      </w:r>
      <w:r w:rsidRPr="005518E7">
        <w:rPr>
          <w:rFonts w:ascii="Times New Roman" w:eastAsia="宋体" w:hAnsi="Times New Roman" w:cs="Times New Roman" w:hint="eastAsia"/>
          <w:sz w:val="24"/>
          <w:szCs w:val="24"/>
        </w:rPr>
        <w:t>30</w:t>
      </w:r>
      <w:r w:rsidRPr="005518E7">
        <w:rPr>
          <w:rFonts w:ascii="Times New Roman" w:eastAsia="宋体" w:hAnsi="Times New Roman" w:cs="Times New Roman" w:hint="eastAsia"/>
          <w:sz w:val="24"/>
          <w:szCs w:val="24"/>
        </w:rPr>
        <w:t>°；地层具有一定的储集性，封闭性，横向连通性，有足够的储存空间，无贯通浅部可利用含水层的垂向的导流裂隙或断层。</w:t>
      </w:r>
    </w:p>
    <w:p w14:paraId="714A11C5" w14:textId="21A8EBC4"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灌注层应具有良好的渗透性、孔隙度，一定的均质性和厚度，使灌注液以拟定灌注速率进入该地层。</w:t>
      </w:r>
    </w:p>
    <w:p w14:paraId="4198A249" w14:textId="68697007"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灌注层上下应有一定厚度的隔离层，上部地层隔离层外宜有渗透性较小的缓冲层，缓冲层外还应具有一定厚度的外隔离层，实现对所灌注矿井水的完全隔离，</w:t>
      </w:r>
      <w:r w:rsidRPr="005518E7">
        <w:rPr>
          <w:rFonts w:ascii="Times New Roman" w:eastAsia="宋体" w:hAnsi="Times New Roman" w:cs="Times New Roman" w:hint="eastAsia"/>
          <w:sz w:val="24"/>
          <w:szCs w:val="24"/>
        </w:rPr>
        <w:lastRenderedPageBreak/>
        <w:t>避免已储存的液体达到可利用的含水层区域。</w:t>
      </w:r>
    </w:p>
    <w:p w14:paraId="16E31EBC" w14:textId="2FFBB4BB" w:rsid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灌注区要求不具有已探明的矿产资源。</w:t>
      </w:r>
    </w:p>
    <w:p w14:paraId="1F7EC23C" w14:textId="082F3A7A" w:rsidR="00C83608" w:rsidRDefault="00000000" w:rsidP="005518E7">
      <w:pPr>
        <w:ind w:firstLine="480"/>
        <w:jc w:val="center"/>
        <w:rPr>
          <w:rFonts w:ascii="宋体" w:eastAsia="宋体" w:hAnsi="宋体" w:cs="宋体"/>
          <w:b/>
          <w:bCs/>
          <w:szCs w:val="21"/>
        </w:rPr>
      </w:pPr>
      <w:r>
        <w:rPr>
          <w:rFonts w:ascii="宋体" w:eastAsia="宋体" w:hAnsi="宋体" w:cs="宋体" w:hint="eastAsia"/>
          <w:b/>
          <w:bCs/>
          <w:szCs w:val="21"/>
        </w:rPr>
        <w:t>表2-1灌注区域地质要求条件表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2"/>
        <w:gridCol w:w="1713"/>
        <w:gridCol w:w="1692"/>
        <w:gridCol w:w="1750"/>
        <w:gridCol w:w="1519"/>
      </w:tblGrid>
      <w:tr w:rsidR="005518E7" w:rsidRPr="00CD7E16" w14:paraId="2162F3C2" w14:textId="77777777" w:rsidTr="00721E2A">
        <w:tc>
          <w:tcPr>
            <w:tcW w:w="1622" w:type="dxa"/>
            <w:tcBorders>
              <w:tl2br w:val="single" w:sz="4" w:space="0" w:color="auto"/>
            </w:tcBorders>
            <w:shd w:val="clear" w:color="auto" w:fill="auto"/>
          </w:tcPr>
          <w:p w14:paraId="36F40E41" w14:textId="77777777" w:rsidR="005518E7" w:rsidRPr="00CD7E16" w:rsidRDefault="005518E7" w:rsidP="005518E7">
            <w:pPr>
              <w:ind w:firstLineChars="218" w:firstLine="458"/>
            </w:pPr>
            <w:r w:rsidRPr="00CD7E16">
              <w:rPr>
                <w:rFonts w:hint="eastAsia"/>
              </w:rPr>
              <w:t>地质要求</w:t>
            </w:r>
          </w:p>
          <w:p w14:paraId="4BD3A85B" w14:textId="77777777" w:rsidR="005518E7" w:rsidRPr="00CD7E16" w:rsidRDefault="005518E7" w:rsidP="00B4601A">
            <w:pPr>
              <w:spacing w:after="120"/>
            </w:pPr>
            <w:r w:rsidRPr="00CD7E16">
              <w:rPr>
                <w:rFonts w:hint="eastAsia"/>
              </w:rPr>
              <w:t>层位</w:t>
            </w:r>
          </w:p>
        </w:tc>
        <w:tc>
          <w:tcPr>
            <w:tcW w:w="1713" w:type="dxa"/>
            <w:shd w:val="clear" w:color="auto" w:fill="auto"/>
            <w:vAlign w:val="center"/>
          </w:tcPr>
          <w:p w14:paraId="11EE959C" w14:textId="77777777" w:rsidR="005518E7" w:rsidRPr="00CD7E16" w:rsidRDefault="005518E7" w:rsidP="00B4601A">
            <w:pPr>
              <w:jc w:val="center"/>
            </w:pPr>
            <w:r w:rsidRPr="00CD7E16">
              <w:rPr>
                <w:rFonts w:hint="eastAsia"/>
              </w:rPr>
              <w:t>深度（</w:t>
            </w:r>
            <w:r w:rsidRPr="00CD7E16">
              <w:rPr>
                <w:rFonts w:hint="eastAsia"/>
              </w:rPr>
              <w:t>m</w:t>
            </w:r>
            <w:r w:rsidRPr="00CD7E16">
              <w:rPr>
                <w:rFonts w:hint="eastAsia"/>
              </w:rPr>
              <w:t>）</w:t>
            </w:r>
          </w:p>
        </w:tc>
        <w:tc>
          <w:tcPr>
            <w:tcW w:w="1692" w:type="dxa"/>
            <w:shd w:val="clear" w:color="auto" w:fill="auto"/>
            <w:vAlign w:val="center"/>
          </w:tcPr>
          <w:p w14:paraId="08EE4064" w14:textId="77777777" w:rsidR="005518E7" w:rsidRPr="00CD7E16" w:rsidRDefault="005518E7" w:rsidP="00B4601A">
            <w:pPr>
              <w:jc w:val="center"/>
            </w:pPr>
            <w:r w:rsidRPr="00CD7E16">
              <w:rPr>
                <w:rFonts w:hint="eastAsia"/>
              </w:rPr>
              <w:t>厚度（</w:t>
            </w:r>
            <w:r w:rsidRPr="00CD7E16">
              <w:rPr>
                <w:rFonts w:hint="eastAsia"/>
              </w:rPr>
              <w:t>m</w:t>
            </w:r>
            <w:r w:rsidRPr="00CD7E16">
              <w:rPr>
                <w:rFonts w:hint="eastAsia"/>
              </w:rPr>
              <w:t>）</w:t>
            </w:r>
          </w:p>
        </w:tc>
        <w:tc>
          <w:tcPr>
            <w:tcW w:w="1750" w:type="dxa"/>
            <w:shd w:val="clear" w:color="auto" w:fill="auto"/>
            <w:vAlign w:val="center"/>
          </w:tcPr>
          <w:p w14:paraId="3728F114" w14:textId="77777777" w:rsidR="005518E7" w:rsidRPr="00CD7E16" w:rsidRDefault="005518E7" w:rsidP="00B4601A">
            <w:pPr>
              <w:jc w:val="center"/>
            </w:pPr>
            <w:r w:rsidRPr="00CD7E16">
              <w:rPr>
                <w:rFonts w:hint="eastAsia"/>
              </w:rPr>
              <w:t>渗透率（</w:t>
            </w:r>
            <w:proofErr w:type="spellStart"/>
            <w:r w:rsidRPr="00CD7E16">
              <w:rPr>
                <w:rFonts w:hint="eastAsia"/>
              </w:rPr>
              <w:t>m</w:t>
            </w:r>
            <w:r w:rsidRPr="00CD7E16">
              <w:t>D</w:t>
            </w:r>
            <w:proofErr w:type="spellEnd"/>
            <w:r w:rsidRPr="00CD7E16">
              <w:rPr>
                <w:rFonts w:hint="eastAsia"/>
              </w:rPr>
              <w:t>）</w:t>
            </w:r>
          </w:p>
        </w:tc>
        <w:tc>
          <w:tcPr>
            <w:tcW w:w="1519" w:type="dxa"/>
            <w:shd w:val="clear" w:color="auto" w:fill="auto"/>
            <w:vAlign w:val="center"/>
          </w:tcPr>
          <w:p w14:paraId="38B5614F" w14:textId="77777777" w:rsidR="005518E7" w:rsidRPr="00CD7E16" w:rsidRDefault="005518E7" w:rsidP="00B4601A">
            <w:pPr>
              <w:jc w:val="center"/>
            </w:pPr>
            <w:r w:rsidRPr="00CD7E16">
              <w:rPr>
                <w:rFonts w:hint="eastAsia"/>
              </w:rPr>
              <w:t>含水率</w:t>
            </w:r>
          </w:p>
        </w:tc>
      </w:tr>
      <w:tr w:rsidR="005518E7" w:rsidRPr="00CD7E16" w14:paraId="17E8A78B" w14:textId="77777777" w:rsidTr="00721E2A">
        <w:tc>
          <w:tcPr>
            <w:tcW w:w="1622" w:type="dxa"/>
            <w:shd w:val="clear" w:color="auto" w:fill="auto"/>
            <w:vAlign w:val="center"/>
          </w:tcPr>
          <w:p w14:paraId="6C2E2E11" w14:textId="77777777" w:rsidR="005518E7" w:rsidRPr="00CD7E16" w:rsidRDefault="005518E7" w:rsidP="00B4601A">
            <w:pPr>
              <w:jc w:val="center"/>
            </w:pPr>
            <w:r w:rsidRPr="00CD7E16">
              <w:rPr>
                <w:rFonts w:hint="eastAsia"/>
              </w:rPr>
              <w:t>灌注层</w:t>
            </w:r>
          </w:p>
        </w:tc>
        <w:tc>
          <w:tcPr>
            <w:tcW w:w="1713" w:type="dxa"/>
            <w:tcBorders>
              <w:bottom w:val="single" w:sz="4" w:space="0" w:color="auto"/>
            </w:tcBorders>
            <w:shd w:val="clear" w:color="auto" w:fill="auto"/>
            <w:vAlign w:val="center"/>
          </w:tcPr>
          <w:p w14:paraId="42AA4527" w14:textId="77777777" w:rsidR="005518E7" w:rsidRPr="00CD7E16" w:rsidRDefault="005518E7" w:rsidP="00B4601A">
            <w:pPr>
              <w:jc w:val="center"/>
              <w:rPr>
                <w:szCs w:val="21"/>
              </w:rPr>
            </w:pPr>
            <w:r w:rsidRPr="00CD7E16">
              <w:rPr>
                <w:rFonts w:hint="eastAsia"/>
                <w:szCs w:val="21"/>
              </w:rPr>
              <w:t>≥</w:t>
            </w:r>
            <w:r w:rsidRPr="00CD7E16">
              <w:rPr>
                <w:szCs w:val="21"/>
              </w:rPr>
              <w:t>1200</w:t>
            </w:r>
            <w:r w:rsidRPr="00CD7E16">
              <w:rPr>
                <w:rFonts w:hint="eastAsia"/>
                <w:szCs w:val="21"/>
              </w:rPr>
              <w:t>且与煤层底板距离≥</w:t>
            </w:r>
            <w:r w:rsidRPr="00CD7E16">
              <w:rPr>
                <w:rFonts w:hint="eastAsia"/>
                <w:szCs w:val="21"/>
              </w:rPr>
              <w:t>8</w:t>
            </w:r>
            <w:r w:rsidRPr="00CD7E16">
              <w:rPr>
                <w:szCs w:val="21"/>
              </w:rPr>
              <w:t>00</w:t>
            </w:r>
            <w:r w:rsidRPr="00CD7E16">
              <w:rPr>
                <w:rFonts w:hint="eastAsia"/>
                <w:szCs w:val="21"/>
              </w:rPr>
              <w:t>m</w:t>
            </w:r>
            <w:r w:rsidRPr="00CD7E16">
              <w:rPr>
                <w:rFonts w:hint="eastAsia"/>
                <w:szCs w:val="21"/>
              </w:rPr>
              <w:t>，与饮用水含水层底部边界距离≥</w:t>
            </w:r>
            <w:r w:rsidRPr="00CD7E16">
              <w:rPr>
                <w:rFonts w:hint="eastAsia"/>
                <w:szCs w:val="21"/>
              </w:rPr>
              <w:t>1</w:t>
            </w:r>
            <w:r w:rsidRPr="00CD7E16">
              <w:rPr>
                <w:szCs w:val="21"/>
              </w:rPr>
              <w:t>000</w:t>
            </w:r>
          </w:p>
        </w:tc>
        <w:tc>
          <w:tcPr>
            <w:tcW w:w="1692" w:type="dxa"/>
            <w:shd w:val="clear" w:color="auto" w:fill="auto"/>
            <w:vAlign w:val="center"/>
          </w:tcPr>
          <w:p w14:paraId="192BB021" w14:textId="77777777" w:rsidR="005518E7" w:rsidRPr="00CD7E16" w:rsidRDefault="005518E7" w:rsidP="00B4601A">
            <w:pPr>
              <w:jc w:val="center"/>
            </w:pPr>
            <w:r w:rsidRPr="00CD7E16">
              <w:rPr>
                <w:rFonts w:hint="eastAsia"/>
                <w:szCs w:val="21"/>
              </w:rPr>
              <w:t>≥</w:t>
            </w:r>
            <w:r w:rsidRPr="00CD7E16">
              <w:rPr>
                <w:szCs w:val="21"/>
              </w:rPr>
              <w:t>50</w:t>
            </w:r>
          </w:p>
        </w:tc>
        <w:tc>
          <w:tcPr>
            <w:tcW w:w="1750" w:type="dxa"/>
            <w:shd w:val="clear" w:color="auto" w:fill="auto"/>
            <w:vAlign w:val="center"/>
          </w:tcPr>
          <w:p w14:paraId="3C1095FD" w14:textId="77777777" w:rsidR="005518E7" w:rsidRPr="00CD7E16" w:rsidRDefault="005518E7" w:rsidP="00B4601A">
            <w:pPr>
              <w:jc w:val="center"/>
            </w:pPr>
            <w:r w:rsidRPr="00CD7E16">
              <w:rPr>
                <w:rFonts w:hint="eastAsia"/>
                <w:szCs w:val="21"/>
              </w:rPr>
              <w:t>≥</w:t>
            </w:r>
            <w:r w:rsidRPr="00CD7E16">
              <w:rPr>
                <w:szCs w:val="21"/>
              </w:rPr>
              <w:t>10mD</w:t>
            </w:r>
          </w:p>
        </w:tc>
        <w:tc>
          <w:tcPr>
            <w:tcW w:w="1519" w:type="dxa"/>
            <w:shd w:val="clear" w:color="auto" w:fill="auto"/>
            <w:vAlign w:val="center"/>
          </w:tcPr>
          <w:p w14:paraId="6356E6FF" w14:textId="77777777" w:rsidR="005518E7" w:rsidRPr="00CD7E16" w:rsidRDefault="005518E7" w:rsidP="00B4601A">
            <w:pPr>
              <w:jc w:val="center"/>
              <w:rPr>
                <w:szCs w:val="21"/>
              </w:rPr>
            </w:pPr>
            <w:r w:rsidRPr="00CD7E16">
              <w:rPr>
                <w:rFonts w:hint="eastAsia"/>
                <w:szCs w:val="21"/>
              </w:rPr>
              <w:t>≤</w:t>
            </w:r>
            <w:r w:rsidRPr="00CD7E16">
              <w:rPr>
                <w:rFonts w:hint="eastAsia"/>
                <w:szCs w:val="21"/>
              </w:rPr>
              <w:t>5</w:t>
            </w:r>
            <w:r w:rsidRPr="00CD7E16">
              <w:rPr>
                <w:szCs w:val="21"/>
              </w:rPr>
              <w:t>0</w:t>
            </w:r>
            <w:r w:rsidRPr="00CD7E16">
              <w:rPr>
                <w:rFonts w:hint="eastAsia"/>
                <w:szCs w:val="21"/>
              </w:rPr>
              <w:t>%</w:t>
            </w:r>
          </w:p>
        </w:tc>
      </w:tr>
      <w:tr w:rsidR="005518E7" w:rsidRPr="00CD7E16" w14:paraId="3C7E74D9" w14:textId="77777777" w:rsidTr="00721E2A">
        <w:tc>
          <w:tcPr>
            <w:tcW w:w="1622" w:type="dxa"/>
            <w:shd w:val="clear" w:color="auto" w:fill="auto"/>
            <w:vAlign w:val="center"/>
          </w:tcPr>
          <w:p w14:paraId="53705058" w14:textId="77777777" w:rsidR="005518E7" w:rsidRPr="00CD7E16" w:rsidRDefault="005518E7" w:rsidP="00B4601A">
            <w:pPr>
              <w:jc w:val="center"/>
            </w:pPr>
            <w:r w:rsidRPr="00CD7E16">
              <w:rPr>
                <w:rFonts w:hint="eastAsia"/>
              </w:rPr>
              <w:t>隔离层</w:t>
            </w:r>
          </w:p>
        </w:tc>
        <w:tc>
          <w:tcPr>
            <w:tcW w:w="1713" w:type="dxa"/>
            <w:tcBorders>
              <w:bottom w:val="single" w:sz="4" w:space="0" w:color="auto"/>
              <w:tl2br w:val="nil"/>
            </w:tcBorders>
            <w:shd w:val="clear" w:color="auto" w:fill="auto"/>
            <w:vAlign w:val="center"/>
          </w:tcPr>
          <w:p w14:paraId="16C71970" w14:textId="77777777" w:rsidR="005518E7" w:rsidRPr="00CD7E16" w:rsidRDefault="005518E7" w:rsidP="00B4601A">
            <w:pPr>
              <w:jc w:val="center"/>
            </w:pPr>
            <w:r w:rsidRPr="00CD7E16">
              <w:rPr>
                <w:rFonts w:hint="eastAsia"/>
              </w:rPr>
              <w:t>—</w:t>
            </w:r>
          </w:p>
        </w:tc>
        <w:tc>
          <w:tcPr>
            <w:tcW w:w="1692" w:type="dxa"/>
            <w:shd w:val="clear" w:color="auto" w:fill="auto"/>
            <w:vAlign w:val="center"/>
          </w:tcPr>
          <w:p w14:paraId="6F278C84" w14:textId="77777777" w:rsidR="005518E7" w:rsidRPr="00CD7E16" w:rsidRDefault="005518E7" w:rsidP="00B4601A">
            <w:pPr>
              <w:jc w:val="center"/>
            </w:pPr>
            <w:r w:rsidRPr="00CD7E16">
              <w:rPr>
                <w:rFonts w:hint="eastAsia"/>
                <w:szCs w:val="21"/>
              </w:rPr>
              <w:t>≥</w:t>
            </w:r>
            <w:r w:rsidRPr="00CD7E16">
              <w:rPr>
                <w:szCs w:val="21"/>
              </w:rPr>
              <w:t>30</w:t>
            </w:r>
          </w:p>
        </w:tc>
        <w:tc>
          <w:tcPr>
            <w:tcW w:w="1750" w:type="dxa"/>
            <w:shd w:val="clear" w:color="auto" w:fill="auto"/>
            <w:vAlign w:val="center"/>
          </w:tcPr>
          <w:p w14:paraId="5B4691F2" w14:textId="77777777" w:rsidR="005518E7" w:rsidRPr="00CD7E16" w:rsidRDefault="005518E7" w:rsidP="00B4601A">
            <w:pPr>
              <w:jc w:val="center"/>
            </w:pPr>
            <w:r w:rsidRPr="00CD7E16">
              <w:rPr>
                <w:rFonts w:hint="eastAsia"/>
                <w:szCs w:val="21"/>
              </w:rPr>
              <w:t>≤</w:t>
            </w:r>
            <w:r w:rsidRPr="00CD7E16">
              <w:rPr>
                <w:szCs w:val="21"/>
              </w:rPr>
              <w:t>1mD</w:t>
            </w:r>
          </w:p>
        </w:tc>
        <w:tc>
          <w:tcPr>
            <w:tcW w:w="1519" w:type="dxa"/>
            <w:shd w:val="clear" w:color="auto" w:fill="auto"/>
            <w:vAlign w:val="center"/>
          </w:tcPr>
          <w:p w14:paraId="3D59E3A1" w14:textId="77777777" w:rsidR="005518E7" w:rsidRPr="00CD7E16" w:rsidRDefault="005518E7" w:rsidP="00B4601A">
            <w:pPr>
              <w:jc w:val="center"/>
            </w:pPr>
            <w:r w:rsidRPr="00CD7E16">
              <w:rPr>
                <w:rFonts w:hint="eastAsia"/>
              </w:rPr>
              <w:t>—</w:t>
            </w:r>
          </w:p>
        </w:tc>
      </w:tr>
      <w:tr w:rsidR="005518E7" w:rsidRPr="00CD7E16" w14:paraId="39B3A0B5" w14:textId="77777777" w:rsidTr="00721E2A">
        <w:tc>
          <w:tcPr>
            <w:tcW w:w="1622" w:type="dxa"/>
            <w:shd w:val="clear" w:color="auto" w:fill="auto"/>
            <w:vAlign w:val="center"/>
          </w:tcPr>
          <w:p w14:paraId="5A558F1C" w14:textId="77777777" w:rsidR="005518E7" w:rsidRPr="00CD7E16" w:rsidRDefault="005518E7" w:rsidP="00B4601A">
            <w:pPr>
              <w:jc w:val="center"/>
            </w:pPr>
            <w:r w:rsidRPr="00CD7E16">
              <w:rPr>
                <w:rFonts w:hint="eastAsia"/>
              </w:rPr>
              <w:t>缓冲层</w:t>
            </w:r>
          </w:p>
        </w:tc>
        <w:tc>
          <w:tcPr>
            <w:tcW w:w="1713" w:type="dxa"/>
            <w:tcBorders>
              <w:bottom w:val="single" w:sz="4" w:space="0" w:color="auto"/>
              <w:tl2br w:val="nil"/>
            </w:tcBorders>
            <w:shd w:val="clear" w:color="auto" w:fill="auto"/>
            <w:vAlign w:val="center"/>
          </w:tcPr>
          <w:p w14:paraId="1F5FFCB1" w14:textId="77777777" w:rsidR="005518E7" w:rsidRPr="00CD7E16" w:rsidRDefault="005518E7" w:rsidP="00B4601A">
            <w:pPr>
              <w:jc w:val="center"/>
            </w:pPr>
            <w:r w:rsidRPr="00CD7E16">
              <w:rPr>
                <w:rFonts w:hint="eastAsia"/>
              </w:rPr>
              <w:t>—</w:t>
            </w:r>
          </w:p>
        </w:tc>
        <w:tc>
          <w:tcPr>
            <w:tcW w:w="1692" w:type="dxa"/>
            <w:shd w:val="clear" w:color="auto" w:fill="auto"/>
            <w:vAlign w:val="center"/>
          </w:tcPr>
          <w:p w14:paraId="406DCBC5" w14:textId="77777777" w:rsidR="005518E7" w:rsidRPr="00CD7E16" w:rsidRDefault="005518E7" w:rsidP="00B4601A">
            <w:pPr>
              <w:jc w:val="center"/>
            </w:pPr>
            <w:r w:rsidRPr="00CD7E16">
              <w:rPr>
                <w:rFonts w:hint="eastAsia"/>
                <w:szCs w:val="21"/>
              </w:rPr>
              <w:t>≥</w:t>
            </w:r>
            <w:r w:rsidRPr="00CD7E16">
              <w:rPr>
                <w:szCs w:val="21"/>
              </w:rPr>
              <w:t>50</w:t>
            </w:r>
          </w:p>
        </w:tc>
        <w:tc>
          <w:tcPr>
            <w:tcW w:w="1750" w:type="dxa"/>
            <w:shd w:val="clear" w:color="auto" w:fill="auto"/>
            <w:vAlign w:val="center"/>
          </w:tcPr>
          <w:p w14:paraId="4F2F2A9E" w14:textId="77777777" w:rsidR="005518E7" w:rsidRPr="00CD7E16" w:rsidRDefault="005518E7" w:rsidP="00B4601A">
            <w:pPr>
              <w:jc w:val="center"/>
            </w:pPr>
            <w:r w:rsidRPr="00CD7E16">
              <w:rPr>
                <w:rFonts w:hint="eastAsia"/>
                <w:szCs w:val="21"/>
              </w:rPr>
              <w:t>≤</w:t>
            </w:r>
            <w:r w:rsidRPr="00CD7E16">
              <w:rPr>
                <w:rFonts w:hint="eastAsia"/>
                <w:szCs w:val="21"/>
              </w:rPr>
              <w:t>5</w:t>
            </w:r>
            <w:r w:rsidRPr="00CD7E16">
              <w:rPr>
                <w:szCs w:val="21"/>
              </w:rPr>
              <w:t>mD</w:t>
            </w:r>
          </w:p>
        </w:tc>
        <w:tc>
          <w:tcPr>
            <w:tcW w:w="1519" w:type="dxa"/>
            <w:shd w:val="clear" w:color="auto" w:fill="auto"/>
            <w:vAlign w:val="center"/>
          </w:tcPr>
          <w:p w14:paraId="5F82D85F" w14:textId="77777777" w:rsidR="005518E7" w:rsidRPr="00CD7E16" w:rsidRDefault="005518E7" w:rsidP="00B4601A">
            <w:pPr>
              <w:jc w:val="center"/>
            </w:pPr>
            <w:r w:rsidRPr="00CD7E16">
              <w:rPr>
                <w:rFonts w:hint="eastAsia"/>
              </w:rPr>
              <w:t>—</w:t>
            </w:r>
          </w:p>
        </w:tc>
      </w:tr>
      <w:tr w:rsidR="005518E7" w:rsidRPr="00CD7E16" w14:paraId="29A2F4E1" w14:textId="77777777" w:rsidTr="00721E2A">
        <w:tc>
          <w:tcPr>
            <w:tcW w:w="1622" w:type="dxa"/>
            <w:shd w:val="clear" w:color="auto" w:fill="auto"/>
            <w:vAlign w:val="center"/>
          </w:tcPr>
          <w:p w14:paraId="3B2924AF" w14:textId="77777777" w:rsidR="005518E7" w:rsidRPr="00CD7E16" w:rsidRDefault="005518E7" w:rsidP="00B4601A">
            <w:pPr>
              <w:jc w:val="center"/>
            </w:pPr>
            <w:r w:rsidRPr="00CD7E16">
              <w:rPr>
                <w:rFonts w:hint="eastAsia"/>
              </w:rPr>
              <w:t>外隔离层</w:t>
            </w:r>
          </w:p>
        </w:tc>
        <w:tc>
          <w:tcPr>
            <w:tcW w:w="1713" w:type="dxa"/>
            <w:tcBorders>
              <w:tl2br w:val="nil"/>
            </w:tcBorders>
            <w:shd w:val="clear" w:color="auto" w:fill="auto"/>
            <w:vAlign w:val="center"/>
          </w:tcPr>
          <w:p w14:paraId="34711AC0" w14:textId="77777777" w:rsidR="005518E7" w:rsidRPr="00CD7E16" w:rsidRDefault="005518E7" w:rsidP="00B4601A">
            <w:pPr>
              <w:jc w:val="center"/>
            </w:pPr>
            <w:r w:rsidRPr="00CD7E16">
              <w:rPr>
                <w:rFonts w:hint="eastAsia"/>
              </w:rPr>
              <w:t>—</w:t>
            </w:r>
          </w:p>
        </w:tc>
        <w:tc>
          <w:tcPr>
            <w:tcW w:w="1692" w:type="dxa"/>
            <w:shd w:val="clear" w:color="auto" w:fill="auto"/>
            <w:vAlign w:val="center"/>
          </w:tcPr>
          <w:p w14:paraId="721C1508" w14:textId="77777777" w:rsidR="005518E7" w:rsidRPr="00CD7E16" w:rsidRDefault="005518E7" w:rsidP="00B4601A">
            <w:pPr>
              <w:jc w:val="center"/>
              <w:rPr>
                <w:szCs w:val="21"/>
              </w:rPr>
            </w:pPr>
            <w:r w:rsidRPr="00CD7E16">
              <w:rPr>
                <w:rFonts w:hint="eastAsia"/>
                <w:szCs w:val="21"/>
              </w:rPr>
              <w:t>≥</w:t>
            </w:r>
            <w:r w:rsidRPr="00CD7E16">
              <w:rPr>
                <w:szCs w:val="21"/>
              </w:rPr>
              <w:t>3</w:t>
            </w:r>
            <w:r w:rsidRPr="00CD7E16">
              <w:rPr>
                <w:rFonts w:hint="eastAsia"/>
                <w:szCs w:val="21"/>
              </w:rPr>
              <w:t>0</w:t>
            </w:r>
          </w:p>
        </w:tc>
        <w:tc>
          <w:tcPr>
            <w:tcW w:w="1750" w:type="dxa"/>
            <w:shd w:val="clear" w:color="auto" w:fill="auto"/>
            <w:vAlign w:val="center"/>
          </w:tcPr>
          <w:p w14:paraId="3A5FD994" w14:textId="77777777" w:rsidR="005518E7" w:rsidRPr="00CD7E16" w:rsidRDefault="005518E7" w:rsidP="00B4601A">
            <w:pPr>
              <w:jc w:val="center"/>
              <w:rPr>
                <w:szCs w:val="21"/>
              </w:rPr>
            </w:pPr>
            <w:r w:rsidRPr="00CD7E16">
              <w:rPr>
                <w:rFonts w:hint="eastAsia"/>
                <w:szCs w:val="21"/>
              </w:rPr>
              <w:t>≤</w:t>
            </w:r>
            <w:r w:rsidRPr="00CD7E16">
              <w:rPr>
                <w:szCs w:val="21"/>
              </w:rPr>
              <w:t>1mD</w:t>
            </w:r>
          </w:p>
        </w:tc>
        <w:tc>
          <w:tcPr>
            <w:tcW w:w="1519" w:type="dxa"/>
            <w:shd w:val="clear" w:color="auto" w:fill="auto"/>
            <w:vAlign w:val="center"/>
          </w:tcPr>
          <w:p w14:paraId="0A2ADE68" w14:textId="77777777" w:rsidR="005518E7" w:rsidRPr="00CD7E16" w:rsidRDefault="005518E7" w:rsidP="00B4601A">
            <w:pPr>
              <w:jc w:val="center"/>
            </w:pPr>
            <w:r w:rsidRPr="00CD7E16">
              <w:rPr>
                <w:rFonts w:hint="eastAsia"/>
              </w:rPr>
              <w:t>—</w:t>
            </w:r>
          </w:p>
        </w:tc>
      </w:tr>
      <w:tr w:rsidR="005518E7" w:rsidRPr="00CD7E16" w14:paraId="3408F719" w14:textId="77777777" w:rsidTr="00721E2A">
        <w:tc>
          <w:tcPr>
            <w:tcW w:w="1622" w:type="dxa"/>
            <w:shd w:val="clear" w:color="auto" w:fill="auto"/>
            <w:vAlign w:val="center"/>
          </w:tcPr>
          <w:p w14:paraId="6B991EF2" w14:textId="77777777" w:rsidR="005518E7" w:rsidRPr="00CD7E16" w:rsidRDefault="005518E7" w:rsidP="00B4601A">
            <w:pPr>
              <w:jc w:val="center"/>
            </w:pPr>
            <w:proofErr w:type="gramStart"/>
            <w:r w:rsidRPr="00CD7E16">
              <w:rPr>
                <w:szCs w:val="21"/>
              </w:rPr>
              <w:t>灌注</w:t>
            </w:r>
            <w:r w:rsidRPr="00CD7E16">
              <w:rPr>
                <w:rFonts w:hint="eastAsia"/>
                <w:szCs w:val="21"/>
              </w:rPr>
              <w:t>层总含盐量</w:t>
            </w:r>
            <w:proofErr w:type="gramEnd"/>
          </w:p>
        </w:tc>
        <w:tc>
          <w:tcPr>
            <w:tcW w:w="6674" w:type="dxa"/>
            <w:gridSpan w:val="4"/>
            <w:shd w:val="clear" w:color="auto" w:fill="auto"/>
            <w:vAlign w:val="center"/>
          </w:tcPr>
          <w:p w14:paraId="6C45277E" w14:textId="77777777" w:rsidR="005518E7" w:rsidRPr="00CD7E16" w:rsidRDefault="005518E7" w:rsidP="00B4601A">
            <w:pPr>
              <w:jc w:val="center"/>
            </w:pPr>
            <w:r w:rsidRPr="00CD7E16">
              <w:rPr>
                <w:rFonts w:hint="eastAsia"/>
                <w:szCs w:val="21"/>
              </w:rPr>
              <w:t>≥</w:t>
            </w:r>
            <w:r w:rsidRPr="00CD7E16">
              <w:rPr>
                <w:rFonts w:hint="eastAsia"/>
                <w:szCs w:val="21"/>
              </w:rPr>
              <w:t>1000mg/L</w:t>
            </w:r>
          </w:p>
        </w:tc>
      </w:tr>
    </w:tbl>
    <w:p w14:paraId="1942946B" w14:textId="77777777" w:rsidR="00C83608" w:rsidRDefault="00415AC6" w:rsidP="00415AC6">
      <w:pPr>
        <w:spacing w:beforeLines="100" w:before="312" w:afterLines="100" w:after="312"/>
        <w:ind w:firstLineChars="200" w:firstLine="480"/>
        <w:outlineLvl w:val="1"/>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）灌注矿井水的水质要求</w:t>
      </w:r>
    </w:p>
    <w:p w14:paraId="562608CA" w14:textId="590DFB48"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灌注矿井水应先通过沉淀絮凝等手段除去悬浮物和沉淀物。</w:t>
      </w:r>
    </w:p>
    <w:p w14:paraId="0C2C16A9" w14:textId="086DD745"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水质各项指标满足附表</w:t>
      </w:r>
      <w:r w:rsidRPr="005518E7">
        <w:rPr>
          <w:rFonts w:ascii="Times New Roman" w:eastAsia="宋体" w:hAnsi="Times New Roman" w:cs="Times New Roman" w:hint="eastAsia"/>
          <w:sz w:val="24"/>
          <w:szCs w:val="24"/>
        </w:rPr>
        <w:t>A.2</w:t>
      </w:r>
      <w:r w:rsidRPr="005518E7">
        <w:rPr>
          <w:rFonts w:ascii="Times New Roman" w:eastAsia="宋体" w:hAnsi="Times New Roman" w:cs="Times New Roman" w:hint="eastAsia"/>
          <w:sz w:val="24"/>
          <w:szCs w:val="24"/>
        </w:rPr>
        <w:t>灌注水质要求。同时满足《气田水注入技术要求》（</w:t>
      </w:r>
      <w:r w:rsidRPr="005518E7">
        <w:rPr>
          <w:rFonts w:ascii="Times New Roman" w:eastAsia="宋体" w:hAnsi="Times New Roman" w:cs="Times New Roman" w:hint="eastAsia"/>
          <w:sz w:val="24"/>
          <w:szCs w:val="24"/>
        </w:rPr>
        <w:t>SY/T 6596</w:t>
      </w:r>
      <w:r w:rsidRPr="005518E7">
        <w:rPr>
          <w:rFonts w:ascii="Times New Roman" w:eastAsia="宋体" w:hAnsi="Times New Roman" w:cs="Times New Roman" w:hint="eastAsia"/>
          <w:sz w:val="24"/>
          <w:szCs w:val="24"/>
        </w:rPr>
        <w:t>），《碎屑岩油藏注水水质推荐指标及分析方法》（</w:t>
      </w:r>
      <w:r w:rsidRPr="005518E7">
        <w:rPr>
          <w:rFonts w:ascii="Times New Roman" w:eastAsia="宋体" w:hAnsi="Times New Roman" w:cs="Times New Roman" w:hint="eastAsia"/>
          <w:sz w:val="24"/>
          <w:szCs w:val="24"/>
        </w:rPr>
        <w:t>SY/T 5329</w:t>
      </w:r>
      <w:r w:rsidRPr="005518E7">
        <w:rPr>
          <w:rFonts w:ascii="Times New Roman" w:eastAsia="宋体" w:hAnsi="Times New Roman" w:cs="Times New Roman" w:hint="eastAsia"/>
          <w:sz w:val="24"/>
          <w:szCs w:val="24"/>
        </w:rPr>
        <w:t>）。</w:t>
      </w:r>
    </w:p>
    <w:p w14:paraId="126E0CBE" w14:textId="78E82AEF"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被灌注的矿井水须不含生物毒性及放射性。</w:t>
      </w:r>
    </w:p>
    <w:p w14:paraId="22EB831B" w14:textId="7DC40DDA"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灌注水的总含盐量应低于灌注层水质本底值。</w:t>
      </w:r>
    </w:p>
    <w:p w14:paraId="1B745781" w14:textId="65546E49" w:rsid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以混水实验或模拟计算确定回注水与灌注层地下水的配伍性，不能产生大量沉淀堵塞地层。</w:t>
      </w:r>
    </w:p>
    <w:p w14:paraId="7B780889" w14:textId="783B713E" w:rsidR="00D95185" w:rsidRDefault="00000000" w:rsidP="005518E7">
      <w:pPr>
        <w:ind w:firstLine="480"/>
        <w:jc w:val="center"/>
        <w:rPr>
          <w:rFonts w:ascii="宋体" w:eastAsia="宋体" w:hAnsi="宋体" w:cs="宋体"/>
          <w:b/>
          <w:bCs/>
          <w:szCs w:val="21"/>
        </w:rPr>
      </w:pPr>
      <w:r>
        <w:rPr>
          <w:rFonts w:ascii="宋体" w:eastAsia="宋体" w:hAnsi="宋体" w:cs="宋体" w:hint="eastAsia"/>
          <w:b/>
          <w:bCs/>
          <w:szCs w:val="21"/>
        </w:rPr>
        <w:t>表2-2灌注水质要求</w:t>
      </w:r>
    </w:p>
    <w:tbl>
      <w:tblPr>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4111"/>
      </w:tblGrid>
      <w:tr w:rsidR="005518E7" w:rsidRPr="00CD7E16" w14:paraId="7C80CFD6" w14:textId="77777777" w:rsidTr="005518E7">
        <w:trPr>
          <w:trHeight w:val="567"/>
        </w:trPr>
        <w:tc>
          <w:tcPr>
            <w:tcW w:w="3964" w:type="dxa"/>
            <w:shd w:val="clear" w:color="auto" w:fill="auto"/>
            <w:vAlign w:val="center"/>
          </w:tcPr>
          <w:p w14:paraId="392EE74F" w14:textId="77777777" w:rsidR="005518E7" w:rsidRPr="00CD7E16" w:rsidRDefault="005518E7" w:rsidP="00B4601A">
            <w:pPr>
              <w:jc w:val="center"/>
              <w:rPr>
                <w:b/>
                <w:bCs/>
                <w:szCs w:val="21"/>
              </w:rPr>
            </w:pPr>
            <w:r w:rsidRPr="00CD7E16">
              <w:rPr>
                <w:rFonts w:hint="eastAsia"/>
                <w:b/>
                <w:bCs/>
                <w:szCs w:val="21"/>
              </w:rPr>
              <w:t>项目</w:t>
            </w:r>
          </w:p>
        </w:tc>
        <w:tc>
          <w:tcPr>
            <w:tcW w:w="4111" w:type="dxa"/>
            <w:shd w:val="clear" w:color="auto" w:fill="auto"/>
            <w:vAlign w:val="center"/>
          </w:tcPr>
          <w:p w14:paraId="576C9AF0" w14:textId="77777777" w:rsidR="005518E7" w:rsidRPr="00CD7E16" w:rsidRDefault="005518E7" w:rsidP="00B4601A">
            <w:pPr>
              <w:jc w:val="center"/>
              <w:rPr>
                <w:b/>
                <w:bCs/>
                <w:szCs w:val="21"/>
              </w:rPr>
            </w:pPr>
            <w:r w:rsidRPr="00CD7E16">
              <w:rPr>
                <w:rFonts w:hint="eastAsia"/>
                <w:b/>
                <w:bCs/>
                <w:szCs w:val="21"/>
              </w:rPr>
              <w:t>灌注</w:t>
            </w:r>
            <w:r w:rsidRPr="00CD7E16">
              <w:rPr>
                <w:b/>
                <w:bCs/>
                <w:szCs w:val="21"/>
              </w:rPr>
              <w:t>矿井水</w:t>
            </w:r>
          </w:p>
        </w:tc>
      </w:tr>
      <w:tr w:rsidR="005518E7" w:rsidRPr="00CD7E16" w14:paraId="23CFF55C" w14:textId="77777777" w:rsidTr="005518E7">
        <w:tc>
          <w:tcPr>
            <w:tcW w:w="3964" w:type="dxa"/>
            <w:shd w:val="clear" w:color="auto" w:fill="auto"/>
            <w:vAlign w:val="center"/>
          </w:tcPr>
          <w:p w14:paraId="74B23F19" w14:textId="77777777" w:rsidR="005518E7" w:rsidRPr="00CD7E16" w:rsidRDefault="005518E7" w:rsidP="00B4601A">
            <w:pPr>
              <w:jc w:val="center"/>
              <w:rPr>
                <w:szCs w:val="21"/>
              </w:rPr>
            </w:pPr>
            <w:r w:rsidRPr="00CD7E16">
              <w:rPr>
                <w:szCs w:val="21"/>
              </w:rPr>
              <w:t>悬浮物</w:t>
            </w:r>
            <w:r w:rsidRPr="00CD7E16">
              <w:rPr>
                <w:szCs w:val="21"/>
              </w:rPr>
              <w:t>(mg/L)</w:t>
            </w:r>
          </w:p>
        </w:tc>
        <w:tc>
          <w:tcPr>
            <w:tcW w:w="4111" w:type="dxa"/>
            <w:shd w:val="clear" w:color="auto" w:fill="auto"/>
            <w:vAlign w:val="center"/>
          </w:tcPr>
          <w:p w14:paraId="752B93BF" w14:textId="77777777" w:rsidR="005518E7" w:rsidRPr="00CD7E16" w:rsidRDefault="005518E7" w:rsidP="00B4601A">
            <w:pPr>
              <w:jc w:val="center"/>
              <w:rPr>
                <w:szCs w:val="21"/>
              </w:rPr>
            </w:pPr>
            <w:r w:rsidRPr="00CD7E16">
              <w:rPr>
                <w:rFonts w:hint="eastAsia"/>
                <w:szCs w:val="21"/>
              </w:rPr>
              <w:t>≤</w:t>
            </w:r>
            <w:r w:rsidRPr="00CD7E16">
              <w:rPr>
                <w:szCs w:val="21"/>
              </w:rPr>
              <w:t>30</w:t>
            </w:r>
          </w:p>
        </w:tc>
      </w:tr>
      <w:tr w:rsidR="005518E7" w:rsidRPr="00CD7E16" w14:paraId="088EAFCF" w14:textId="77777777" w:rsidTr="005518E7">
        <w:tc>
          <w:tcPr>
            <w:tcW w:w="3964" w:type="dxa"/>
            <w:shd w:val="clear" w:color="auto" w:fill="auto"/>
            <w:vAlign w:val="center"/>
          </w:tcPr>
          <w:p w14:paraId="7C047E58" w14:textId="77777777" w:rsidR="005518E7" w:rsidRPr="00CD7E16" w:rsidRDefault="005518E7" w:rsidP="00B4601A">
            <w:pPr>
              <w:jc w:val="center"/>
              <w:rPr>
                <w:szCs w:val="21"/>
              </w:rPr>
            </w:pPr>
            <w:r w:rsidRPr="00CD7E16">
              <w:rPr>
                <w:rFonts w:hint="eastAsia"/>
                <w:szCs w:val="21"/>
              </w:rPr>
              <w:t>悬浮物颗粒直径中值（μ</w:t>
            </w:r>
            <w:r w:rsidRPr="00CD7E16">
              <w:rPr>
                <w:szCs w:val="21"/>
              </w:rPr>
              <w:t>m</w:t>
            </w:r>
            <w:r w:rsidRPr="00CD7E16">
              <w:rPr>
                <w:rFonts w:hint="eastAsia"/>
                <w:szCs w:val="21"/>
              </w:rPr>
              <w:t>）</w:t>
            </w:r>
          </w:p>
        </w:tc>
        <w:tc>
          <w:tcPr>
            <w:tcW w:w="4111" w:type="dxa"/>
            <w:shd w:val="clear" w:color="auto" w:fill="auto"/>
            <w:vAlign w:val="center"/>
          </w:tcPr>
          <w:p w14:paraId="536FF173" w14:textId="77777777" w:rsidR="005518E7" w:rsidRPr="00CD7E16" w:rsidRDefault="005518E7" w:rsidP="00B4601A">
            <w:pPr>
              <w:jc w:val="center"/>
              <w:rPr>
                <w:szCs w:val="21"/>
              </w:rPr>
            </w:pPr>
            <w:r w:rsidRPr="00CD7E16">
              <w:rPr>
                <w:rFonts w:hint="eastAsia"/>
                <w:szCs w:val="21"/>
              </w:rPr>
              <w:t>≤</w:t>
            </w:r>
            <w:r w:rsidRPr="00CD7E16">
              <w:rPr>
                <w:szCs w:val="21"/>
              </w:rPr>
              <w:t>5</w:t>
            </w:r>
          </w:p>
        </w:tc>
      </w:tr>
      <w:tr w:rsidR="005518E7" w:rsidRPr="00CD7E16" w14:paraId="24B2FC60" w14:textId="77777777" w:rsidTr="005518E7">
        <w:tc>
          <w:tcPr>
            <w:tcW w:w="3964" w:type="dxa"/>
            <w:shd w:val="clear" w:color="auto" w:fill="auto"/>
            <w:vAlign w:val="center"/>
          </w:tcPr>
          <w:p w14:paraId="64FB424F" w14:textId="77777777" w:rsidR="005518E7" w:rsidRPr="00CD7E16" w:rsidRDefault="005518E7" w:rsidP="00B4601A">
            <w:pPr>
              <w:jc w:val="center"/>
              <w:rPr>
                <w:szCs w:val="21"/>
              </w:rPr>
            </w:pPr>
            <w:r w:rsidRPr="00CD7E16">
              <w:rPr>
                <w:szCs w:val="21"/>
              </w:rPr>
              <w:t>pH</w:t>
            </w:r>
          </w:p>
        </w:tc>
        <w:tc>
          <w:tcPr>
            <w:tcW w:w="4111" w:type="dxa"/>
            <w:shd w:val="clear" w:color="auto" w:fill="auto"/>
            <w:vAlign w:val="center"/>
          </w:tcPr>
          <w:p w14:paraId="162BADB0" w14:textId="77777777" w:rsidR="005518E7" w:rsidRPr="00CD7E16" w:rsidRDefault="005518E7" w:rsidP="00B4601A">
            <w:pPr>
              <w:jc w:val="center"/>
              <w:rPr>
                <w:szCs w:val="21"/>
              </w:rPr>
            </w:pPr>
            <w:r w:rsidRPr="00CD7E16">
              <w:rPr>
                <w:szCs w:val="21"/>
              </w:rPr>
              <w:t>6</w:t>
            </w:r>
            <w:r w:rsidRPr="00CD7E16">
              <w:rPr>
                <w:szCs w:val="21"/>
              </w:rPr>
              <w:t>～</w:t>
            </w:r>
            <w:r w:rsidRPr="00CD7E16">
              <w:rPr>
                <w:szCs w:val="21"/>
              </w:rPr>
              <w:t>9</w:t>
            </w:r>
          </w:p>
        </w:tc>
      </w:tr>
      <w:tr w:rsidR="005518E7" w:rsidRPr="00CD7E16" w14:paraId="683B64DC" w14:textId="77777777" w:rsidTr="005518E7">
        <w:tc>
          <w:tcPr>
            <w:tcW w:w="3964" w:type="dxa"/>
            <w:shd w:val="clear" w:color="auto" w:fill="auto"/>
            <w:vAlign w:val="center"/>
          </w:tcPr>
          <w:p w14:paraId="0188B4A3" w14:textId="77777777" w:rsidR="005518E7" w:rsidRPr="00CD7E16" w:rsidRDefault="005518E7" w:rsidP="00B4601A">
            <w:pPr>
              <w:jc w:val="center"/>
              <w:rPr>
                <w:szCs w:val="21"/>
              </w:rPr>
            </w:pPr>
            <w:r w:rsidRPr="00CD7E16">
              <w:rPr>
                <w:szCs w:val="21"/>
              </w:rPr>
              <w:t>TDS</w:t>
            </w:r>
          </w:p>
        </w:tc>
        <w:tc>
          <w:tcPr>
            <w:tcW w:w="4111" w:type="dxa"/>
            <w:shd w:val="clear" w:color="auto" w:fill="auto"/>
            <w:vAlign w:val="center"/>
          </w:tcPr>
          <w:p w14:paraId="748688CF" w14:textId="77777777" w:rsidR="005518E7" w:rsidRPr="00CD7E16" w:rsidRDefault="005518E7" w:rsidP="00B4601A">
            <w:pPr>
              <w:jc w:val="center"/>
              <w:rPr>
                <w:szCs w:val="21"/>
              </w:rPr>
            </w:pPr>
            <w:r w:rsidRPr="00CD7E16">
              <w:rPr>
                <w:rFonts w:hint="eastAsia"/>
                <w:szCs w:val="21"/>
              </w:rPr>
              <w:t>≤</w:t>
            </w:r>
            <w:r w:rsidRPr="00CD7E16">
              <w:rPr>
                <w:szCs w:val="21"/>
              </w:rPr>
              <w:t>100000</w:t>
            </w:r>
            <w:r w:rsidRPr="00CD7E16">
              <w:rPr>
                <w:rFonts w:hint="eastAsia"/>
                <w:szCs w:val="21"/>
              </w:rPr>
              <w:t>且小于地层水</w:t>
            </w:r>
            <w:r w:rsidRPr="00CD7E16">
              <w:rPr>
                <w:rFonts w:hint="eastAsia"/>
                <w:szCs w:val="21"/>
              </w:rPr>
              <w:t>T</w:t>
            </w:r>
            <w:r w:rsidRPr="00CD7E16">
              <w:rPr>
                <w:szCs w:val="21"/>
              </w:rPr>
              <w:t>DS</w:t>
            </w:r>
          </w:p>
        </w:tc>
      </w:tr>
    </w:tbl>
    <w:p w14:paraId="63D46252" w14:textId="75EC0B3D" w:rsidR="00C83608" w:rsidRDefault="00415AC6" w:rsidP="00D95185">
      <w:pPr>
        <w:spacing w:line="360" w:lineRule="auto"/>
        <w:ind w:firstLine="480"/>
        <w:jc w:val="left"/>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）灌注井要求</w:t>
      </w:r>
    </w:p>
    <w:p w14:paraId="55E95339" w14:textId="02B55B0A"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灌注井井型可选择直井、斜井、水平定向井</w:t>
      </w:r>
      <w:proofErr w:type="gramStart"/>
      <w:r w:rsidRPr="005518E7">
        <w:rPr>
          <w:rFonts w:ascii="Times New Roman" w:eastAsia="宋体" w:hAnsi="Times New Roman" w:cs="Times New Roman" w:hint="eastAsia"/>
          <w:sz w:val="24"/>
          <w:szCs w:val="24"/>
        </w:rPr>
        <w:t>或丛式</w:t>
      </w:r>
      <w:proofErr w:type="gramEnd"/>
      <w:r w:rsidRPr="005518E7">
        <w:rPr>
          <w:rFonts w:ascii="Times New Roman" w:eastAsia="宋体" w:hAnsi="Times New Roman" w:cs="Times New Roman" w:hint="eastAsia"/>
          <w:sz w:val="24"/>
          <w:szCs w:val="24"/>
        </w:rPr>
        <w:t>定向井。井身由二层或二层以上的同心管组成，由外至内分别是表层套管、长套管、灌注管（或</w:t>
      </w:r>
      <w:proofErr w:type="gramStart"/>
      <w:r w:rsidRPr="005518E7">
        <w:rPr>
          <w:rFonts w:ascii="Times New Roman" w:eastAsia="宋体" w:hAnsi="Times New Roman" w:cs="Times New Roman" w:hint="eastAsia"/>
          <w:sz w:val="24"/>
          <w:szCs w:val="24"/>
        </w:rPr>
        <w:t>不</w:t>
      </w:r>
      <w:proofErr w:type="gramEnd"/>
      <w:r w:rsidRPr="005518E7">
        <w:rPr>
          <w:rFonts w:ascii="Times New Roman" w:eastAsia="宋体" w:hAnsi="Times New Roman" w:cs="Times New Roman" w:hint="eastAsia"/>
          <w:sz w:val="24"/>
          <w:szCs w:val="24"/>
        </w:rPr>
        <w:t>下套管）。</w:t>
      </w:r>
    </w:p>
    <w:p w14:paraId="732A9E5A" w14:textId="19FBD4B3"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一开，在最外层隔离层之上，下入表层套管，并采用水泥固井的方法，封闭可饮用含水层与灌注井最外层套管（表层套管）之间的缝隙。</w:t>
      </w:r>
    </w:p>
    <w:p w14:paraId="4509CB12" w14:textId="7544F37F"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lastRenderedPageBreak/>
        <w:t>二开，在孔口与灌注目的层顶部之间，下入长套管，且表层套管与长套管之间的缝隙需用水泥灌注封闭，其中最外层隔离层以下部分的缝隙可采用耐酸水泥封闭。</w:t>
      </w:r>
    </w:p>
    <w:p w14:paraId="23C04C6E" w14:textId="713E4F1B"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三开，钻穿灌注目的层完钻，灌注段可采用</w:t>
      </w:r>
      <w:proofErr w:type="gramStart"/>
      <w:r w:rsidRPr="005518E7">
        <w:rPr>
          <w:rFonts w:ascii="Times New Roman" w:eastAsia="宋体" w:hAnsi="Times New Roman" w:cs="Times New Roman" w:hint="eastAsia"/>
          <w:sz w:val="24"/>
          <w:szCs w:val="24"/>
        </w:rPr>
        <w:t>不</w:t>
      </w:r>
      <w:proofErr w:type="gramEnd"/>
      <w:r w:rsidRPr="005518E7">
        <w:rPr>
          <w:rFonts w:ascii="Times New Roman" w:eastAsia="宋体" w:hAnsi="Times New Roman" w:cs="Times New Roman" w:hint="eastAsia"/>
          <w:sz w:val="24"/>
          <w:szCs w:val="24"/>
        </w:rPr>
        <w:t>下套管、下套管射孔或下入</w:t>
      </w:r>
      <w:proofErr w:type="gramStart"/>
      <w:r w:rsidRPr="005518E7">
        <w:rPr>
          <w:rFonts w:ascii="Times New Roman" w:eastAsia="宋体" w:hAnsi="Times New Roman" w:cs="Times New Roman" w:hint="eastAsia"/>
          <w:sz w:val="24"/>
          <w:szCs w:val="24"/>
        </w:rPr>
        <w:t>圆孔式滤水管</w:t>
      </w:r>
      <w:proofErr w:type="gramEnd"/>
      <w:r w:rsidRPr="005518E7">
        <w:rPr>
          <w:rFonts w:ascii="Times New Roman" w:eastAsia="宋体" w:hAnsi="Times New Roman" w:cs="Times New Roman" w:hint="eastAsia"/>
          <w:sz w:val="24"/>
          <w:szCs w:val="24"/>
        </w:rPr>
        <w:t>。</w:t>
      </w:r>
    </w:p>
    <w:p w14:paraId="2340D81A" w14:textId="7E6DC0CE"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全井井身质量满足设计及相关标准要求（《水文水井地质钻探规程》（</w:t>
      </w:r>
      <w:r w:rsidRPr="005518E7">
        <w:rPr>
          <w:rFonts w:ascii="Times New Roman" w:eastAsia="宋体" w:hAnsi="Times New Roman" w:cs="Times New Roman" w:hint="eastAsia"/>
          <w:sz w:val="24"/>
          <w:szCs w:val="24"/>
        </w:rPr>
        <w:t>DZ/T 0148</w:t>
      </w:r>
      <w:r w:rsidRPr="005518E7">
        <w:rPr>
          <w:rFonts w:ascii="Times New Roman" w:eastAsia="宋体" w:hAnsi="Times New Roman" w:cs="Times New Roman" w:hint="eastAsia"/>
          <w:sz w:val="24"/>
          <w:szCs w:val="24"/>
        </w:rPr>
        <w:t>）、《地质岩心钻探规程》（</w:t>
      </w:r>
      <w:r w:rsidRPr="005518E7">
        <w:rPr>
          <w:rFonts w:ascii="Times New Roman" w:eastAsia="宋体" w:hAnsi="Times New Roman" w:cs="Times New Roman" w:hint="eastAsia"/>
          <w:sz w:val="24"/>
          <w:szCs w:val="24"/>
        </w:rPr>
        <w:t>DZ/T 227</w:t>
      </w:r>
      <w:r w:rsidRPr="005518E7">
        <w:rPr>
          <w:rFonts w:ascii="Times New Roman" w:eastAsia="宋体" w:hAnsi="Times New Roman" w:cs="Times New Roman" w:hint="eastAsia"/>
          <w:sz w:val="24"/>
          <w:szCs w:val="24"/>
        </w:rPr>
        <w:t>）、《钻井井身质量控制规范》（</w:t>
      </w:r>
      <w:r w:rsidRPr="005518E7">
        <w:rPr>
          <w:rFonts w:ascii="Times New Roman" w:eastAsia="宋体" w:hAnsi="Times New Roman" w:cs="Times New Roman" w:hint="eastAsia"/>
          <w:sz w:val="24"/>
          <w:szCs w:val="24"/>
        </w:rPr>
        <w:t>SYT5088</w:t>
      </w:r>
      <w:r w:rsidRPr="005518E7">
        <w:rPr>
          <w:rFonts w:ascii="Times New Roman" w:eastAsia="宋体" w:hAnsi="Times New Roman" w:cs="Times New Roman" w:hint="eastAsia"/>
          <w:sz w:val="24"/>
          <w:szCs w:val="24"/>
        </w:rPr>
        <w:t>）相关条款）。</w:t>
      </w:r>
    </w:p>
    <w:p w14:paraId="09AF2382" w14:textId="538AA4BB"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全井进行岩屑录井、钻时录井、钻井液录井。在钻孔施工过程中需在灌注层取岩心。执行《油田开发井取心资料技术要求》（</w:t>
      </w:r>
      <w:r w:rsidRPr="005518E7">
        <w:rPr>
          <w:rFonts w:ascii="Times New Roman" w:eastAsia="宋体" w:hAnsi="Times New Roman" w:cs="Times New Roman" w:hint="eastAsia"/>
          <w:sz w:val="24"/>
          <w:szCs w:val="24"/>
        </w:rPr>
        <w:t>SY/T 5366</w:t>
      </w:r>
      <w:r w:rsidRPr="005518E7">
        <w:rPr>
          <w:rFonts w:ascii="Times New Roman" w:eastAsia="宋体" w:hAnsi="Times New Roman" w:cs="Times New Roman" w:hint="eastAsia"/>
          <w:sz w:val="24"/>
          <w:szCs w:val="24"/>
        </w:rPr>
        <w:t>），《地质岩心钻探规程》（</w:t>
      </w:r>
      <w:r w:rsidRPr="005518E7">
        <w:rPr>
          <w:rFonts w:ascii="Times New Roman" w:eastAsia="宋体" w:hAnsi="Times New Roman" w:cs="Times New Roman" w:hint="eastAsia"/>
          <w:sz w:val="24"/>
          <w:szCs w:val="24"/>
        </w:rPr>
        <w:t>DZ/T 0227</w:t>
      </w:r>
      <w:r w:rsidRPr="005518E7">
        <w:rPr>
          <w:rFonts w:ascii="Times New Roman" w:eastAsia="宋体" w:hAnsi="Times New Roman" w:cs="Times New Roman" w:hint="eastAsia"/>
          <w:sz w:val="24"/>
          <w:szCs w:val="24"/>
        </w:rPr>
        <w:t>）相关条款。</w:t>
      </w:r>
    </w:p>
    <w:p w14:paraId="1EF1DF56" w14:textId="08DE8A8E" w:rsidR="005518E7" w:rsidRP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全井段进行地球物理测井。测井项目包括井径、井斜、井温、自然伽马、伽马</w:t>
      </w:r>
      <w:r w:rsidRPr="005518E7">
        <w:rPr>
          <w:rFonts w:ascii="Times New Roman" w:eastAsia="宋体" w:hAnsi="Times New Roman" w:cs="Times New Roman" w:hint="eastAsia"/>
          <w:sz w:val="24"/>
          <w:szCs w:val="24"/>
        </w:rPr>
        <w:t>-</w:t>
      </w:r>
      <w:r w:rsidRPr="005518E7">
        <w:rPr>
          <w:rFonts w:ascii="Times New Roman" w:eastAsia="宋体" w:hAnsi="Times New Roman" w:cs="Times New Roman" w:hint="eastAsia"/>
          <w:sz w:val="24"/>
          <w:szCs w:val="24"/>
        </w:rPr>
        <w:t>伽马、双侧向电阻率、自然电位、声波时差、密度测井，条件允许时采用井壁微电阻率成像法、超声成像测井等。</w:t>
      </w:r>
    </w:p>
    <w:p w14:paraId="239793F9" w14:textId="77777777" w:rsidR="005518E7" w:rsidRDefault="005518E7" w:rsidP="005518E7">
      <w:pPr>
        <w:spacing w:line="360" w:lineRule="auto"/>
        <w:ind w:firstLineChars="200" w:firstLine="480"/>
        <w:rPr>
          <w:rFonts w:ascii="Times New Roman" w:eastAsia="宋体" w:hAnsi="Times New Roman" w:cs="Times New Roman"/>
          <w:sz w:val="24"/>
          <w:szCs w:val="24"/>
        </w:rPr>
      </w:pPr>
      <w:r w:rsidRPr="005518E7">
        <w:rPr>
          <w:rFonts w:ascii="Times New Roman" w:eastAsia="宋体" w:hAnsi="Times New Roman" w:cs="Times New Roman" w:hint="eastAsia"/>
          <w:sz w:val="24"/>
          <w:szCs w:val="24"/>
        </w:rPr>
        <w:t>执行《固井设计规范》（</w:t>
      </w:r>
      <w:r w:rsidRPr="005518E7">
        <w:rPr>
          <w:rFonts w:ascii="Times New Roman" w:eastAsia="宋体" w:hAnsi="Times New Roman" w:cs="Times New Roman" w:hint="eastAsia"/>
          <w:sz w:val="24"/>
          <w:szCs w:val="24"/>
        </w:rPr>
        <w:t>SY/T 5480</w:t>
      </w:r>
      <w:r w:rsidRPr="005518E7">
        <w:rPr>
          <w:rFonts w:ascii="Times New Roman" w:eastAsia="宋体" w:hAnsi="Times New Roman" w:cs="Times New Roman" w:hint="eastAsia"/>
          <w:sz w:val="24"/>
          <w:szCs w:val="24"/>
        </w:rPr>
        <w:t>）相关条款。采用声波变密度测井检测固井质量，水泥胶结质量的评价应符合《固井质量评价方法》（</w:t>
      </w:r>
      <w:r w:rsidRPr="005518E7">
        <w:rPr>
          <w:rFonts w:ascii="Times New Roman" w:eastAsia="宋体" w:hAnsi="Times New Roman" w:cs="Times New Roman" w:hint="eastAsia"/>
          <w:sz w:val="24"/>
          <w:szCs w:val="24"/>
        </w:rPr>
        <w:t>ST/T 6592-2004</w:t>
      </w:r>
      <w:r w:rsidRPr="005518E7">
        <w:rPr>
          <w:rFonts w:ascii="Times New Roman" w:eastAsia="宋体" w:hAnsi="Times New Roman" w:cs="Times New Roman" w:hint="eastAsia"/>
          <w:sz w:val="24"/>
          <w:szCs w:val="24"/>
        </w:rPr>
        <w:t>）的规定。</w:t>
      </w:r>
    </w:p>
    <w:p w14:paraId="591E9526" w14:textId="7D927E91" w:rsidR="00721E2A" w:rsidRPr="00721E2A" w:rsidRDefault="00721E2A" w:rsidP="00721E2A">
      <w:pPr>
        <w:pStyle w:val="a0"/>
        <w:ind w:firstLineChars="200" w:firstLine="480"/>
        <w:rPr>
          <w:rFonts w:ascii="Times New Roman" w:hAnsi="Times New Roman" w:cs="Times New Roman"/>
          <w:sz w:val="24"/>
          <w:szCs w:val="24"/>
        </w:rPr>
      </w:pPr>
      <w:r w:rsidRPr="00721E2A">
        <w:rPr>
          <w:rFonts w:ascii="Times New Roman" w:hAnsi="Times New Roman" w:cs="Times New Roman" w:hint="eastAsia"/>
          <w:sz w:val="24"/>
          <w:szCs w:val="24"/>
        </w:rPr>
        <w:t>（</w:t>
      </w:r>
      <w:r w:rsidRPr="00721E2A">
        <w:rPr>
          <w:rFonts w:ascii="Times New Roman" w:hAnsi="Times New Roman" w:cs="Times New Roman" w:hint="eastAsia"/>
          <w:sz w:val="24"/>
          <w:szCs w:val="24"/>
        </w:rPr>
        <w:t>4</w:t>
      </w:r>
      <w:r w:rsidRPr="00721E2A">
        <w:rPr>
          <w:rFonts w:ascii="Times New Roman" w:hAnsi="Times New Roman" w:cs="Times New Roman" w:hint="eastAsia"/>
          <w:sz w:val="24"/>
          <w:szCs w:val="24"/>
        </w:rPr>
        <w:t>）灌注工程</w:t>
      </w:r>
    </w:p>
    <w:p w14:paraId="2999AEDC" w14:textId="77777777" w:rsidR="00721E2A" w:rsidRDefault="00721E2A" w:rsidP="00721E2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1</w:t>
      </w:r>
      <w:r>
        <w:rPr>
          <w:rFonts w:ascii="Times New Roman" w:eastAsia="宋体" w:hAnsi="Times New Roman" w:cs="Times New Roman" w:hint="eastAsia"/>
          <w:sz w:val="24"/>
          <w:szCs w:val="24"/>
        </w:rPr>
        <w:t>）</w:t>
      </w:r>
      <w:r w:rsidRPr="00721E2A">
        <w:rPr>
          <w:rFonts w:ascii="Times New Roman" w:eastAsia="宋体" w:hAnsi="Times New Roman" w:cs="Times New Roman" w:hint="eastAsia"/>
          <w:sz w:val="24"/>
          <w:szCs w:val="24"/>
        </w:rPr>
        <w:t>抽（压水）试验阶段</w:t>
      </w:r>
    </w:p>
    <w:p w14:paraId="0D593BEF" w14:textId="31A888ED" w:rsidR="00721E2A" w:rsidRP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在井口水不能自流的情况下对灌注目的层进行抽水试验。在未能成功实施抽水试验时，进行压水试验，获取相关参数。</w:t>
      </w:r>
    </w:p>
    <w:p w14:paraId="335D0AFA" w14:textId="50C66DC7" w:rsidR="00721E2A" w:rsidRP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抽（压水）试验前需进行洗井。如果使用气举反循环或者清水钻进不用洗井，直接做抽、注水试验。</w:t>
      </w:r>
    </w:p>
    <w:p w14:paraId="137AF9C8" w14:textId="676E46A1" w:rsidR="00721E2A" w:rsidRP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抽（压水）试验需获取深部含水层参数。</w:t>
      </w:r>
    </w:p>
    <w:p w14:paraId="6FCD22C7" w14:textId="6050279C" w:rsidR="00721E2A" w:rsidRPr="00721E2A" w:rsidRDefault="00721E2A" w:rsidP="00721E2A">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2</w:t>
      </w:r>
      <w:r>
        <w:rPr>
          <w:rFonts w:ascii="Times New Roman" w:eastAsia="宋体" w:hAnsi="Times New Roman" w:cs="Times New Roman" w:hint="eastAsia"/>
          <w:sz w:val="24"/>
          <w:szCs w:val="24"/>
        </w:rPr>
        <w:t>）</w:t>
      </w:r>
      <w:r w:rsidRPr="00721E2A">
        <w:rPr>
          <w:rFonts w:ascii="Times New Roman" w:eastAsia="宋体" w:hAnsi="Times New Roman" w:cs="Times New Roman" w:hint="eastAsia"/>
          <w:sz w:val="24"/>
          <w:szCs w:val="24"/>
        </w:rPr>
        <w:t>灌注运行期</w:t>
      </w:r>
    </w:p>
    <w:p w14:paraId="2BBC242E" w14:textId="7E0C6BA7" w:rsidR="00721E2A" w:rsidRP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孔口应用全自动流量计、水压自计系统（压力式水位计）。</w:t>
      </w:r>
    </w:p>
    <w:p w14:paraId="6BC4C429" w14:textId="3D8AD9A8" w:rsidR="00721E2A" w:rsidRP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灌注前观测、记录流量表起始读数、灌注井水位、压力、水头等原始数据；记录灌注量（瞬时灌注量和累计灌注量）、水温、井口管道压力表读数。</w:t>
      </w:r>
    </w:p>
    <w:p w14:paraId="76A655B9" w14:textId="12CCE2C4" w:rsidR="00721E2A" w:rsidRP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当井口压力达到加压回灌设计值时，应停止加压灌注，待井口压力下降时安全值以下，再进行检查、维护。</w:t>
      </w:r>
    </w:p>
    <w:p w14:paraId="776C6D54" w14:textId="59243FC9" w:rsid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lastRenderedPageBreak/>
        <w:t>建立灌注记录台账。记录数据包括：瞬时流量（</w:t>
      </w:r>
      <w:r w:rsidRPr="00721E2A">
        <w:rPr>
          <w:rFonts w:ascii="Times New Roman" w:eastAsia="宋体" w:hAnsi="Times New Roman" w:cs="Times New Roman" w:hint="eastAsia"/>
          <w:sz w:val="24"/>
          <w:szCs w:val="24"/>
        </w:rPr>
        <w:t>m</w:t>
      </w:r>
      <w:r w:rsidRPr="00721E2A">
        <w:rPr>
          <w:rFonts w:ascii="Times New Roman" w:eastAsia="宋体" w:hAnsi="Times New Roman" w:cs="Times New Roman" w:hint="eastAsia"/>
          <w:sz w:val="24"/>
          <w:szCs w:val="24"/>
          <w:vertAlign w:val="superscript"/>
        </w:rPr>
        <w:t>3</w:t>
      </w:r>
      <w:r w:rsidRPr="00721E2A">
        <w:rPr>
          <w:rFonts w:ascii="Times New Roman" w:eastAsia="宋体" w:hAnsi="Times New Roman" w:cs="Times New Roman" w:hint="eastAsia"/>
          <w:sz w:val="24"/>
          <w:szCs w:val="24"/>
        </w:rPr>
        <w:t>/h</w:t>
      </w:r>
      <w:r w:rsidRPr="00721E2A">
        <w:rPr>
          <w:rFonts w:ascii="Times New Roman" w:eastAsia="宋体" w:hAnsi="Times New Roman" w:cs="Times New Roman" w:hint="eastAsia"/>
          <w:sz w:val="24"/>
          <w:szCs w:val="24"/>
        </w:rPr>
        <w:t>）、孔口压力（</w:t>
      </w:r>
      <w:r w:rsidRPr="00721E2A">
        <w:rPr>
          <w:rFonts w:ascii="Times New Roman" w:eastAsia="宋体" w:hAnsi="Times New Roman" w:cs="Times New Roman" w:hint="eastAsia"/>
          <w:sz w:val="24"/>
          <w:szCs w:val="24"/>
        </w:rPr>
        <w:t>MPa</w:t>
      </w:r>
      <w:r w:rsidRPr="00721E2A">
        <w:rPr>
          <w:rFonts w:ascii="Times New Roman" w:eastAsia="宋体" w:hAnsi="Times New Roman" w:cs="Times New Roman" w:hint="eastAsia"/>
          <w:sz w:val="24"/>
          <w:szCs w:val="24"/>
        </w:rPr>
        <w:t>）、每日灌注时长、日注量（</w:t>
      </w:r>
      <w:r w:rsidRPr="00721E2A">
        <w:rPr>
          <w:rFonts w:ascii="Times New Roman" w:eastAsia="宋体" w:hAnsi="Times New Roman" w:cs="Times New Roman" w:hint="eastAsia"/>
          <w:sz w:val="24"/>
          <w:szCs w:val="24"/>
        </w:rPr>
        <w:t>m</w:t>
      </w:r>
      <w:r w:rsidRPr="00721E2A">
        <w:rPr>
          <w:rFonts w:ascii="Times New Roman" w:eastAsia="宋体" w:hAnsi="Times New Roman" w:cs="Times New Roman" w:hint="eastAsia"/>
          <w:sz w:val="24"/>
          <w:szCs w:val="24"/>
          <w:vertAlign w:val="superscript"/>
        </w:rPr>
        <w:t>3</w:t>
      </w:r>
      <w:r w:rsidRPr="00721E2A">
        <w:rPr>
          <w:rFonts w:ascii="Times New Roman" w:eastAsia="宋体" w:hAnsi="Times New Roman" w:cs="Times New Roman" w:hint="eastAsia"/>
          <w:sz w:val="24"/>
          <w:szCs w:val="24"/>
        </w:rPr>
        <w:t>）、注水泵频率（</w:t>
      </w:r>
      <w:r w:rsidRPr="00721E2A">
        <w:rPr>
          <w:rFonts w:ascii="Times New Roman" w:eastAsia="宋体" w:hAnsi="Times New Roman" w:cs="Times New Roman" w:hint="eastAsia"/>
          <w:sz w:val="24"/>
          <w:szCs w:val="24"/>
        </w:rPr>
        <w:t>Hz</w:t>
      </w:r>
      <w:r w:rsidRPr="00721E2A">
        <w:rPr>
          <w:rFonts w:ascii="Times New Roman" w:eastAsia="宋体" w:hAnsi="Times New Roman" w:cs="Times New Roman" w:hint="eastAsia"/>
          <w:sz w:val="24"/>
          <w:szCs w:val="24"/>
        </w:rPr>
        <w:t>）。统计累计灌注总量（</w:t>
      </w:r>
      <w:r w:rsidRPr="00721E2A">
        <w:rPr>
          <w:rFonts w:ascii="Times New Roman" w:eastAsia="宋体" w:hAnsi="Times New Roman" w:cs="Times New Roman" w:hint="eastAsia"/>
          <w:sz w:val="24"/>
          <w:szCs w:val="24"/>
        </w:rPr>
        <w:t>m3</w:t>
      </w:r>
      <w:r w:rsidRPr="00721E2A">
        <w:rPr>
          <w:rFonts w:ascii="Times New Roman" w:eastAsia="宋体" w:hAnsi="Times New Roman" w:cs="Times New Roman" w:hint="eastAsia"/>
          <w:sz w:val="24"/>
          <w:szCs w:val="24"/>
        </w:rPr>
        <w:t>），绘制流量</w:t>
      </w:r>
      <w:proofErr w:type="gramStart"/>
      <w:r w:rsidRPr="00721E2A">
        <w:rPr>
          <w:rFonts w:ascii="Times New Roman" w:eastAsia="宋体" w:hAnsi="Times New Roman" w:cs="Times New Roman" w:hint="eastAsia"/>
          <w:sz w:val="24"/>
          <w:szCs w:val="24"/>
        </w:rPr>
        <w:t>—压力</w:t>
      </w:r>
      <w:proofErr w:type="gramEnd"/>
      <w:r w:rsidRPr="00721E2A">
        <w:rPr>
          <w:rFonts w:ascii="Times New Roman" w:eastAsia="宋体" w:hAnsi="Times New Roman" w:cs="Times New Roman" w:hint="eastAsia"/>
          <w:sz w:val="24"/>
          <w:szCs w:val="24"/>
        </w:rPr>
        <w:t>历时曲线。</w:t>
      </w:r>
    </w:p>
    <w:p w14:paraId="0090615E" w14:textId="57F85B55" w:rsidR="00721E2A" w:rsidRDefault="00721E2A" w:rsidP="00721E2A">
      <w:pPr>
        <w:pStyle w:val="a0"/>
        <w:ind w:firstLineChars="100" w:firstLine="240"/>
        <w:rPr>
          <w:rFonts w:ascii="Times New Roman" w:hAnsi="Times New Roman" w:cs="Times New Roman"/>
          <w:sz w:val="24"/>
          <w:szCs w:val="24"/>
        </w:rPr>
      </w:pPr>
      <w:r w:rsidRPr="00721E2A">
        <w:rPr>
          <w:rFonts w:ascii="Times New Roman" w:hAnsi="Times New Roman" w:cs="Times New Roman" w:hint="eastAsia"/>
          <w:sz w:val="24"/>
          <w:szCs w:val="24"/>
        </w:rPr>
        <w:t>（</w:t>
      </w:r>
      <w:r>
        <w:rPr>
          <w:rFonts w:ascii="Times New Roman" w:hAnsi="Times New Roman" w:cs="Times New Roman"/>
          <w:sz w:val="24"/>
          <w:szCs w:val="24"/>
        </w:rPr>
        <w:t>5</w:t>
      </w:r>
      <w:r w:rsidRPr="00721E2A">
        <w:rPr>
          <w:rFonts w:ascii="Times New Roman" w:hAnsi="Times New Roman" w:cs="Times New Roman" w:hint="eastAsia"/>
          <w:sz w:val="24"/>
          <w:szCs w:val="24"/>
        </w:rPr>
        <w:t>）深井灌注监测</w:t>
      </w:r>
    </w:p>
    <w:p w14:paraId="0DF5DBCE" w14:textId="436932F5" w:rsidR="00721E2A" w:rsidRP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监测周期包括三个阶段，即灌注前、灌注期、灌注后期。</w:t>
      </w:r>
    </w:p>
    <w:p w14:paraId="2BFE2655" w14:textId="35D4AB69" w:rsidR="00721E2A" w:rsidRP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监测包括地表水、承压水层、灌注层监测。</w:t>
      </w:r>
    </w:p>
    <w:p w14:paraId="50116312" w14:textId="77777777" w:rsidR="00721E2A" w:rsidRP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地下监测包括：封存盖层、缓冲层、承压水层、封存层、浅部含水层监测。</w:t>
      </w:r>
    </w:p>
    <w:p w14:paraId="46127B5C" w14:textId="77777777" w:rsidR="00721E2A" w:rsidRP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地表监测包括：地表水、</w:t>
      </w:r>
      <w:r w:rsidRPr="00721E2A">
        <w:rPr>
          <w:rFonts w:ascii="Times New Roman" w:eastAsia="宋体" w:hAnsi="Times New Roman" w:cs="Times New Roman" w:hint="eastAsia"/>
          <w:sz w:val="24"/>
          <w:szCs w:val="24"/>
        </w:rPr>
        <w:t>100</w:t>
      </w:r>
      <w:r w:rsidRPr="00721E2A">
        <w:rPr>
          <w:rFonts w:ascii="Times New Roman" w:eastAsia="宋体" w:hAnsi="Times New Roman" w:cs="Times New Roman" w:hint="eastAsia"/>
          <w:sz w:val="24"/>
          <w:szCs w:val="24"/>
        </w:rPr>
        <w:t>平方公里沉降监测、地表生态系统监测。</w:t>
      </w:r>
    </w:p>
    <w:p w14:paraId="4E135FBF" w14:textId="3AC09CC8" w:rsidR="00721E2A" w:rsidRP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灌注前期要对环境背景值进行监测，主要包括浅表水、封存层水质、水量、水温等。</w:t>
      </w:r>
    </w:p>
    <w:p w14:paraId="584D0EBB" w14:textId="0A4B82FF" w:rsidR="00721E2A" w:rsidRP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灌注期要持续监测灌注井灌注速率、井口压力、灌注温度、井底压力</w:t>
      </w:r>
      <w:r w:rsidRPr="00721E2A">
        <w:rPr>
          <w:rFonts w:ascii="Times New Roman" w:eastAsia="宋体" w:hAnsi="Times New Roman" w:cs="Times New Roman" w:hint="eastAsia"/>
          <w:sz w:val="24"/>
          <w:szCs w:val="24"/>
        </w:rPr>
        <w:t>(</w:t>
      </w:r>
      <w:r w:rsidRPr="00721E2A">
        <w:rPr>
          <w:rFonts w:ascii="Times New Roman" w:eastAsia="宋体" w:hAnsi="Times New Roman" w:cs="Times New Roman" w:hint="eastAsia"/>
          <w:sz w:val="24"/>
          <w:szCs w:val="24"/>
        </w:rPr>
        <w:t>此</w:t>
      </w:r>
      <w:proofErr w:type="gramStart"/>
      <w:r w:rsidRPr="00721E2A">
        <w:rPr>
          <w:rFonts w:ascii="Times New Roman" w:eastAsia="宋体" w:hAnsi="Times New Roman" w:cs="Times New Roman" w:hint="eastAsia"/>
          <w:sz w:val="24"/>
          <w:szCs w:val="24"/>
        </w:rPr>
        <w:t>值通过</w:t>
      </w:r>
      <w:proofErr w:type="gramEnd"/>
      <w:r w:rsidRPr="00721E2A">
        <w:rPr>
          <w:rFonts w:ascii="Times New Roman" w:eastAsia="宋体" w:hAnsi="Times New Roman" w:cs="Times New Roman" w:hint="eastAsia"/>
          <w:sz w:val="24"/>
          <w:szCs w:val="24"/>
        </w:rPr>
        <w:t>其它变量计算得出</w:t>
      </w:r>
      <w:r w:rsidRPr="00721E2A">
        <w:rPr>
          <w:rFonts w:ascii="Times New Roman" w:eastAsia="宋体" w:hAnsi="Times New Roman" w:cs="Times New Roman" w:hint="eastAsia"/>
          <w:sz w:val="24"/>
          <w:szCs w:val="24"/>
        </w:rPr>
        <w:t>)</w:t>
      </w:r>
      <w:r w:rsidRPr="00721E2A">
        <w:rPr>
          <w:rFonts w:ascii="Times New Roman" w:eastAsia="宋体" w:hAnsi="Times New Roman" w:cs="Times New Roman" w:hint="eastAsia"/>
          <w:sz w:val="24"/>
          <w:szCs w:val="24"/>
        </w:rPr>
        <w:t>、灌注水质。在灌注场地周围布设监测井，对浅表水、承压水层、封存层水质、水量、水温、压力进行监测。灌注过程中监测</w:t>
      </w:r>
      <w:proofErr w:type="gramStart"/>
      <w:r w:rsidRPr="00721E2A">
        <w:rPr>
          <w:rFonts w:ascii="Times New Roman" w:eastAsia="宋体" w:hAnsi="Times New Roman" w:cs="Times New Roman" w:hint="eastAsia"/>
          <w:sz w:val="24"/>
          <w:szCs w:val="24"/>
        </w:rPr>
        <w:t>到特征</w:t>
      </w:r>
      <w:proofErr w:type="gramEnd"/>
      <w:r w:rsidRPr="00721E2A">
        <w:rPr>
          <w:rFonts w:ascii="Times New Roman" w:eastAsia="宋体" w:hAnsi="Times New Roman" w:cs="Times New Roman" w:hint="eastAsia"/>
          <w:sz w:val="24"/>
          <w:szCs w:val="24"/>
        </w:rPr>
        <w:t>污染物数据异常，且变化速率持续增大，应立即停止回灌。</w:t>
      </w:r>
    </w:p>
    <w:p w14:paraId="7FB01FC7" w14:textId="0DED180D" w:rsidR="00721E2A" w:rsidRDefault="00721E2A" w:rsidP="00721E2A">
      <w:pPr>
        <w:spacing w:line="360" w:lineRule="auto"/>
        <w:ind w:firstLineChars="200" w:firstLine="480"/>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灌注后期即为封场后监测，需对地表水及地下水进行</w:t>
      </w:r>
      <w:r w:rsidRPr="00721E2A">
        <w:rPr>
          <w:rFonts w:ascii="Times New Roman" w:eastAsia="宋体" w:hAnsi="Times New Roman" w:cs="Times New Roman" w:hint="eastAsia"/>
          <w:sz w:val="24"/>
          <w:szCs w:val="24"/>
        </w:rPr>
        <w:t>5</w:t>
      </w:r>
      <w:r w:rsidRPr="00721E2A">
        <w:rPr>
          <w:rFonts w:ascii="Times New Roman" w:eastAsia="宋体" w:hAnsi="Times New Roman" w:cs="Times New Roman" w:hint="eastAsia"/>
          <w:sz w:val="24"/>
          <w:szCs w:val="24"/>
        </w:rPr>
        <w:t>年以上持续监测。</w:t>
      </w:r>
    </w:p>
    <w:p w14:paraId="0109B840" w14:textId="4F978EF9" w:rsidR="00721E2A" w:rsidRDefault="00721E2A" w:rsidP="00721E2A">
      <w:pPr>
        <w:pStyle w:val="a0"/>
        <w:ind w:firstLineChars="200" w:firstLine="420"/>
      </w:pPr>
      <w:r>
        <w:rPr>
          <w:rFonts w:hint="eastAsia"/>
        </w:rPr>
        <w:t>（</w:t>
      </w:r>
      <w:r>
        <w:rPr>
          <w:rFonts w:hint="eastAsia"/>
        </w:rPr>
        <w:t>6</w:t>
      </w:r>
      <w:r>
        <w:rPr>
          <w:rFonts w:hint="eastAsia"/>
        </w:rPr>
        <w:t>）</w:t>
      </w:r>
      <w:r w:rsidRPr="00721E2A">
        <w:rPr>
          <w:rFonts w:hint="eastAsia"/>
        </w:rPr>
        <w:t>闭井</w:t>
      </w:r>
    </w:p>
    <w:p w14:paraId="03283228" w14:textId="3EE912E6" w:rsidR="00721E2A" w:rsidRPr="00721E2A" w:rsidRDefault="00721E2A" w:rsidP="00721E2A">
      <w:pPr>
        <w:pStyle w:val="TOC2"/>
        <w:spacing w:line="360" w:lineRule="auto"/>
        <w:ind w:leftChars="0" w:left="0" w:firstLineChars="177" w:firstLine="425"/>
        <w:rPr>
          <w:rFonts w:ascii="Times New Roman" w:eastAsia="宋体" w:hAnsi="Times New Roman" w:cs="Times New Roman"/>
          <w:sz w:val="24"/>
          <w:szCs w:val="24"/>
        </w:rPr>
      </w:pPr>
      <w:r w:rsidRPr="00721E2A">
        <w:rPr>
          <w:rFonts w:ascii="Times New Roman" w:eastAsia="宋体" w:hAnsi="Times New Roman" w:cs="Times New Roman" w:hint="eastAsia"/>
          <w:sz w:val="24"/>
          <w:szCs w:val="24"/>
        </w:rPr>
        <w:t>矿井水深井灌注工程完成后，需对灌注井场进行有序闭井，提交灌注井、灌注场地关闭计划、关闭设计，按照设计流程进行闭井及场地关闭，并在闭井期间及闭井后，继续进行持续监测。</w:t>
      </w:r>
    </w:p>
    <w:p w14:paraId="6FA7A0DF" w14:textId="77777777" w:rsidR="005518E7" w:rsidRDefault="005518E7" w:rsidP="005518E7">
      <w:pPr>
        <w:pStyle w:val="a0"/>
      </w:pPr>
      <w:r>
        <w:br w:type="page"/>
      </w:r>
    </w:p>
    <w:p w14:paraId="6B344F15" w14:textId="77777777" w:rsidR="005518E7" w:rsidRDefault="005518E7" w:rsidP="005518E7">
      <w:pPr>
        <w:spacing w:line="360" w:lineRule="auto"/>
        <w:ind w:firstLineChars="200" w:firstLine="420"/>
        <w:jc w:val="center"/>
        <w:rPr>
          <w:rFonts w:ascii="Times New Roman" w:eastAsia="宋体" w:hAnsi="Times New Roman" w:cs="Times New Roman"/>
          <w:sz w:val="24"/>
          <w:szCs w:val="24"/>
        </w:rPr>
      </w:pPr>
      <w:r w:rsidRPr="00EC15DD">
        <w:rPr>
          <w:noProof/>
        </w:rPr>
        <w:lastRenderedPageBreak/>
        <w:drawing>
          <wp:inline distT="0" distB="0" distL="0" distR="0" wp14:anchorId="0CD38A78" wp14:editId="0A153C24">
            <wp:extent cx="4147866" cy="5819775"/>
            <wp:effectExtent l="0" t="0" r="5080" b="0"/>
            <wp:docPr id="20005916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55430" cy="5830388"/>
                    </a:xfrm>
                    <a:prstGeom prst="rect">
                      <a:avLst/>
                    </a:prstGeom>
                    <a:noFill/>
                    <a:ln>
                      <a:noFill/>
                    </a:ln>
                  </pic:spPr>
                </pic:pic>
              </a:graphicData>
            </a:graphic>
          </wp:inline>
        </w:drawing>
      </w:r>
    </w:p>
    <w:p w14:paraId="50CAC56D" w14:textId="14F8C70F" w:rsidR="005518E7" w:rsidRDefault="005518E7" w:rsidP="005518E7">
      <w:pPr>
        <w:pStyle w:val="2"/>
        <w:ind w:firstLine="422"/>
        <w:jc w:val="center"/>
        <w:rPr>
          <w:rFonts w:ascii="黑体" w:hAnsi="黑体"/>
          <w:szCs w:val="24"/>
        </w:rPr>
      </w:pPr>
      <w:r>
        <w:rPr>
          <w:rFonts w:ascii="黑体" w:hAnsi="黑体" w:hint="eastAsia"/>
          <w:szCs w:val="24"/>
        </w:rPr>
        <w:t>图</w:t>
      </w:r>
      <w:r>
        <w:rPr>
          <w:rFonts w:ascii="黑体" w:hAnsi="黑体" w:hint="eastAsia"/>
          <w:szCs w:val="24"/>
        </w:rPr>
        <w:t>2-</w:t>
      </w:r>
      <w:r>
        <w:rPr>
          <w:rFonts w:ascii="黑体" w:hAnsi="黑体"/>
          <w:szCs w:val="24"/>
        </w:rPr>
        <w:t xml:space="preserve">1 </w:t>
      </w:r>
      <w:r>
        <w:rPr>
          <w:rFonts w:ascii="黑体" w:hAnsi="黑体" w:hint="eastAsia"/>
          <w:szCs w:val="24"/>
        </w:rPr>
        <w:t>灌注层、隔离层及缓冲层及灌注井结构示意图</w:t>
      </w:r>
    </w:p>
    <w:p w14:paraId="08391C87" w14:textId="24C66C45" w:rsidR="00C0429F" w:rsidRDefault="00C0429F" w:rsidP="005518E7">
      <w:pPr>
        <w:spacing w:line="360" w:lineRule="auto"/>
        <w:ind w:firstLineChars="200" w:firstLine="480"/>
        <w:jc w:val="center"/>
        <w:rPr>
          <w:rFonts w:ascii="Times New Roman" w:eastAsia="宋体" w:hAnsi="Times New Roman" w:cs="Times New Roman"/>
          <w:sz w:val="24"/>
          <w:szCs w:val="24"/>
        </w:rPr>
      </w:pPr>
      <w:r>
        <w:rPr>
          <w:rFonts w:ascii="Times New Roman" w:eastAsia="宋体" w:hAnsi="Times New Roman" w:cs="Times New Roman"/>
          <w:sz w:val="24"/>
          <w:szCs w:val="24"/>
        </w:rPr>
        <w:br w:type="page"/>
      </w:r>
    </w:p>
    <w:p w14:paraId="6C23281D" w14:textId="29453D86" w:rsidR="00C83608" w:rsidRDefault="005518E7">
      <w:pPr>
        <w:outlineLvl w:val="0"/>
        <w:rPr>
          <w:b/>
          <w:bCs/>
          <w:sz w:val="28"/>
          <w:szCs w:val="28"/>
        </w:rPr>
      </w:pPr>
      <w:r>
        <w:rPr>
          <w:rFonts w:hint="eastAsia"/>
          <w:b/>
          <w:bCs/>
          <w:sz w:val="28"/>
          <w:szCs w:val="28"/>
        </w:rPr>
        <w:lastRenderedPageBreak/>
        <w:t>三、采用国际标准的程度及水平的简要说明</w:t>
      </w:r>
    </w:p>
    <w:p w14:paraId="1BC6D0B5"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美国地下回灌技术始于</w:t>
      </w:r>
      <w:r>
        <w:rPr>
          <w:rFonts w:ascii="Times New Roman" w:eastAsia="宋体" w:hAnsi="Times New Roman" w:cs="Times New Roman"/>
          <w:sz w:val="24"/>
          <w:szCs w:val="24"/>
        </w:rPr>
        <w:t>20</w:t>
      </w:r>
      <w:r>
        <w:rPr>
          <w:rFonts w:ascii="Times New Roman" w:eastAsia="宋体" w:hAnsi="Times New Roman" w:cs="Times New Roman"/>
          <w:sz w:val="24"/>
          <w:szCs w:val="24"/>
        </w:rPr>
        <w:t>世纪</w:t>
      </w:r>
      <w:r>
        <w:rPr>
          <w:rFonts w:ascii="Times New Roman" w:eastAsia="宋体" w:hAnsi="Times New Roman" w:cs="Times New Roman"/>
          <w:sz w:val="24"/>
          <w:szCs w:val="24"/>
        </w:rPr>
        <w:t>30</w:t>
      </w:r>
      <w:r>
        <w:rPr>
          <w:rFonts w:ascii="Times New Roman" w:eastAsia="宋体" w:hAnsi="Times New Roman" w:cs="Times New Roman"/>
          <w:sz w:val="24"/>
          <w:szCs w:val="24"/>
        </w:rPr>
        <w:t>年代，最初用于油田和天然气行业。随着经济和技术的发展，地下回灌的应用涉及的方面越来越广，从最初用于油田作业，处理石油开采过程中的油田盐水和其他废液，扩展到金属制造、化学品生产、制药、农业生产等领域。随着新型环境问题的不断出现，深井地下回灌技术也在不断发展，目前地</w:t>
      </w:r>
      <w:proofErr w:type="gramStart"/>
      <w:r>
        <w:rPr>
          <w:rFonts w:ascii="Times New Roman" w:eastAsia="宋体" w:hAnsi="Times New Roman" w:cs="Times New Roman"/>
          <w:sz w:val="24"/>
          <w:szCs w:val="24"/>
        </w:rPr>
        <w:t>下回灌已触及</w:t>
      </w:r>
      <w:proofErr w:type="gramEnd"/>
      <w:r>
        <w:rPr>
          <w:rFonts w:ascii="Times New Roman" w:eastAsia="宋体" w:hAnsi="Times New Roman" w:cs="Times New Roman"/>
          <w:sz w:val="24"/>
          <w:szCs w:val="24"/>
        </w:rPr>
        <w:t>各领域，回灌井分类也细分为六类。</w:t>
      </w:r>
    </w:p>
    <w:p w14:paraId="35416015" w14:textId="5E224568" w:rsidR="00C83608" w:rsidRDefault="00000000">
      <w:pPr>
        <w:pStyle w:val="ab"/>
      </w:pPr>
      <w:r>
        <w:t>表</w:t>
      </w:r>
      <w:r w:rsidR="005518E7">
        <w:t>3</w:t>
      </w:r>
      <w:r>
        <w:t xml:space="preserve">-1  </w:t>
      </w:r>
      <w:r>
        <w:t>美国地下回灌井的分类</w:t>
      </w:r>
    </w:p>
    <w:tbl>
      <w:tblPr>
        <w:tblW w:w="0" w:type="auto"/>
        <w:tblInd w:w="-108" w:type="dxa"/>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817"/>
        <w:gridCol w:w="2410"/>
        <w:gridCol w:w="3118"/>
        <w:gridCol w:w="2177"/>
      </w:tblGrid>
      <w:tr w:rsidR="00C83608" w14:paraId="3C172CA1" w14:textId="77777777">
        <w:trPr>
          <w:trHeight w:val="405"/>
        </w:trPr>
        <w:tc>
          <w:tcPr>
            <w:tcW w:w="817" w:type="dxa"/>
            <w:tcBorders>
              <w:bottom w:val="single" w:sz="12" w:space="0" w:color="auto"/>
            </w:tcBorders>
            <w:vAlign w:val="center"/>
          </w:tcPr>
          <w:p w14:paraId="280FE58A" w14:textId="77777777" w:rsidR="00C83608" w:rsidRDefault="00000000">
            <w:pPr>
              <w:jc w:val="center"/>
              <w:rPr>
                <w:b/>
                <w:bCs/>
                <w:sz w:val="22"/>
                <w:szCs w:val="24"/>
              </w:rPr>
            </w:pPr>
            <w:r>
              <w:rPr>
                <w:b/>
                <w:bCs/>
                <w:sz w:val="22"/>
                <w:szCs w:val="24"/>
              </w:rPr>
              <w:t>类别</w:t>
            </w:r>
          </w:p>
        </w:tc>
        <w:tc>
          <w:tcPr>
            <w:tcW w:w="2410" w:type="dxa"/>
            <w:tcBorders>
              <w:bottom w:val="single" w:sz="12" w:space="0" w:color="auto"/>
            </w:tcBorders>
            <w:vAlign w:val="center"/>
          </w:tcPr>
          <w:p w14:paraId="04E5A5CB" w14:textId="77777777" w:rsidR="00C83608" w:rsidRDefault="00000000">
            <w:pPr>
              <w:jc w:val="center"/>
              <w:rPr>
                <w:b/>
                <w:bCs/>
                <w:sz w:val="22"/>
                <w:szCs w:val="24"/>
              </w:rPr>
            </w:pPr>
            <w:r>
              <w:rPr>
                <w:b/>
                <w:bCs/>
                <w:sz w:val="22"/>
                <w:szCs w:val="24"/>
              </w:rPr>
              <w:t>注入介质类型</w:t>
            </w:r>
          </w:p>
        </w:tc>
        <w:tc>
          <w:tcPr>
            <w:tcW w:w="3118" w:type="dxa"/>
            <w:tcBorders>
              <w:bottom w:val="single" w:sz="12" w:space="0" w:color="auto"/>
            </w:tcBorders>
            <w:vAlign w:val="center"/>
          </w:tcPr>
          <w:p w14:paraId="79161B3C" w14:textId="77777777" w:rsidR="00C83608" w:rsidRDefault="00000000">
            <w:pPr>
              <w:jc w:val="center"/>
              <w:rPr>
                <w:b/>
                <w:bCs/>
                <w:sz w:val="22"/>
                <w:szCs w:val="24"/>
              </w:rPr>
            </w:pPr>
            <w:r>
              <w:rPr>
                <w:b/>
                <w:bCs/>
                <w:sz w:val="22"/>
                <w:szCs w:val="24"/>
              </w:rPr>
              <w:t>注入地层</w:t>
            </w:r>
          </w:p>
        </w:tc>
        <w:tc>
          <w:tcPr>
            <w:tcW w:w="2177" w:type="dxa"/>
            <w:tcBorders>
              <w:bottom w:val="single" w:sz="12" w:space="0" w:color="auto"/>
            </w:tcBorders>
            <w:vAlign w:val="center"/>
          </w:tcPr>
          <w:p w14:paraId="601FB95E" w14:textId="77777777" w:rsidR="00C83608" w:rsidRDefault="00000000">
            <w:pPr>
              <w:jc w:val="center"/>
              <w:rPr>
                <w:b/>
                <w:bCs/>
                <w:sz w:val="22"/>
                <w:szCs w:val="24"/>
              </w:rPr>
            </w:pPr>
            <w:r>
              <w:rPr>
                <w:b/>
                <w:bCs/>
                <w:sz w:val="22"/>
                <w:szCs w:val="24"/>
              </w:rPr>
              <w:t>应用领域</w:t>
            </w:r>
          </w:p>
        </w:tc>
      </w:tr>
      <w:tr w:rsidR="00C83608" w14:paraId="37A7A7AF" w14:textId="77777777">
        <w:tc>
          <w:tcPr>
            <w:tcW w:w="817" w:type="dxa"/>
            <w:tcBorders>
              <w:top w:val="single" w:sz="12" w:space="0" w:color="auto"/>
            </w:tcBorders>
            <w:vAlign w:val="center"/>
          </w:tcPr>
          <w:p w14:paraId="60180264" w14:textId="77777777" w:rsidR="00C83608" w:rsidRDefault="00000000">
            <w:pPr>
              <w:jc w:val="center"/>
              <w:rPr>
                <w:sz w:val="22"/>
                <w:szCs w:val="24"/>
              </w:rPr>
            </w:pPr>
            <w:r>
              <w:rPr>
                <w:sz w:val="22"/>
                <w:szCs w:val="24"/>
              </w:rPr>
              <w:t>Ⅰ</w:t>
            </w:r>
          </w:p>
        </w:tc>
        <w:tc>
          <w:tcPr>
            <w:tcW w:w="2410" w:type="dxa"/>
            <w:tcBorders>
              <w:top w:val="single" w:sz="12" w:space="0" w:color="auto"/>
            </w:tcBorders>
            <w:vAlign w:val="center"/>
          </w:tcPr>
          <w:p w14:paraId="1420915E" w14:textId="77777777" w:rsidR="00C83608" w:rsidRDefault="00000000">
            <w:pPr>
              <w:jc w:val="center"/>
              <w:rPr>
                <w:sz w:val="22"/>
                <w:szCs w:val="24"/>
              </w:rPr>
            </w:pPr>
            <w:r>
              <w:rPr>
                <w:sz w:val="22"/>
                <w:szCs w:val="24"/>
              </w:rPr>
              <w:t>危险废物、其他工业和市政废液、放射性废物</w:t>
            </w:r>
          </w:p>
        </w:tc>
        <w:tc>
          <w:tcPr>
            <w:tcW w:w="3118" w:type="dxa"/>
            <w:tcBorders>
              <w:top w:val="single" w:sz="12" w:space="0" w:color="auto"/>
            </w:tcBorders>
            <w:vAlign w:val="center"/>
          </w:tcPr>
          <w:p w14:paraId="40759139" w14:textId="77777777" w:rsidR="00C83608" w:rsidRDefault="00000000">
            <w:pPr>
              <w:jc w:val="center"/>
              <w:rPr>
                <w:sz w:val="22"/>
                <w:szCs w:val="24"/>
              </w:rPr>
            </w:pPr>
            <w:r>
              <w:rPr>
                <w:sz w:val="22"/>
                <w:szCs w:val="24"/>
              </w:rPr>
              <w:t>所有地下饮用水源（</w:t>
            </w:r>
            <w:r>
              <w:rPr>
                <w:sz w:val="22"/>
                <w:szCs w:val="24"/>
              </w:rPr>
              <w:t>USDW</w:t>
            </w:r>
            <w:r>
              <w:rPr>
                <w:sz w:val="22"/>
                <w:szCs w:val="24"/>
              </w:rPr>
              <w:t>）之下。</w:t>
            </w:r>
          </w:p>
        </w:tc>
        <w:tc>
          <w:tcPr>
            <w:tcW w:w="2177" w:type="dxa"/>
            <w:tcBorders>
              <w:top w:val="single" w:sz="12" w:space="0" w:color="auto"/>
            </w:tcBorders>
            <w:vAlign w:val="center"/>
          </w:tcPr>
          <w:p w14:paraId="79511BE2" w14:textId="77777777" w:rsidR="00C83608" w:rsidRDefault="00000000">
            <w:pPr>
              <w:jc w:val="center"/>
              <w:rPr>
                <w:sz w:val="22"/>
                <w:szCs w:val="24"/>
              </w:rPr>
            </w:pPr>
            <w:r>
              <w:rPr>
                <w:sz w:val="22"/>
                <w:szCs w:val="24"/>
              </w:rPr>
              <w:t>炼油、金属制造业、化学品生产、制药、商业污水处理、市政污水处理和食品加工等</w:t>
            </w:r>
          </w:p>
        </w:tc>
      </w:tr>
      <w:tr w:rsidR="00C83608" w14:paraId="69EB143B" w14:textId="77777777">
        <w:tc>
          <w:tcPr>
            <w:tcW w:w="817" w:type="dxa"/>
            <w:vAlign w:val="center"/>
          </w:tcPr>
          <w:p w14:paraId="35D8C4B5" w14:textId="77777777" w:rsidR="00C83608" w:rsidRDefault="00000000">
            <w:pPr>
              <w:jc w:val="center"/>
              <w:rPr>
                <w:sz w:val="22"/>
                <w:szCs w:val="24"/>
              </w:rPr>
            </w:pPr>
            <w:r>
              <w:rPr>
                <w:sz w:val="22"/>
                <w:szCs w:val="24"/>
              </w:rPr>
              <w:t>Ⅱ</w:t>
            </w:r>
          </w:p>
        </w:tc>
        <w:tc>
          <w:tcPr>
            <w:tcW w:w="2410" w:type="dxa"/>
            <w:vAlign w:val="center"/>
          </w:tcPr>
          <w:p w14:paraId="57FF2F51" w14:textId="77777777" w:rsidR="00C83608" w:rsidRDefault="00000000">
            <w:pPr>
              <w:jc w:val="center"/>
              <w:rPr>
                <w:sz w:val="22"/>
                <w:szCs w:val="24"/>
              </w:rPr>
            </w:pPr>
            <w:r>
              <w:rPr>
                <w:sz w:val="22"/>
                <w:szCs w:val="24"/>
              </w:rPr>
              <w:t>天然气储运作业或石油天然气采掘过程产生的废液和天然气脱出的混合废水；为了提高石油和天然气的采收率而注入的液体；储存标准温度和压力下为液态的烃类化合物</w:t>
            </w:r>
          </w:p>
        </w:tc>
        <w:tc>
          <w:tcPr>
            <w:tcW w:w="3118" w:type="dxa"/>
            <w:vAlign w:val="center"/>
          </w:tcPr>
          <w:p w14:paraId="73C70EEA" w14:textId="77777777" w:rsidR="00C83608" w:rsidRDefault="00000000">
            <w:pPr>
              <w:jc w:val="center"/>
              <w:rPr>
                <w:sz w:val="22"/>
                <w:szCs w:val="24"/>
              </w:rPr>
            </w:pPr>
            <w:r>
              <w:rPr>
                <w:sz w:val="22"/>
                <w:szCs w:val="24"/>
              </w:rPr>
              <w:t>储油地层</w:t>
            </w:r>
          </w:p>
        </w:tc>
        <w:tc>
          <w:tcPr>
            <w:tcW w:w="2177" w:type="dxa"/>
            <w:vAlign w:val="center"/>
          </w:tcPr>
          <w:p w14:paraId="369414B4" w14:textId="77777777" w:rsidR="00C83608" w:rsidRDefault="00000000">
            <w:pPr>
              <w:jc w:val="center"/>
              <w:rPr>
                <w:sz w:val="22"/>
                <w:szCs w:val="24"/>
              </w:rPr>
            </w:pPr>
            <w:r>
              <w:rPr>
                <w:sz w:val="22"/>
                <w:szCs w:val="24"/>
              </w:rPr>
              <w:t>石油天然气采掘业</w:t>
            </w:r>
          </w:p>
        </w:tc>
      </w:tr>
      <w:tr w:rsidR="00C83608" w14:paraId="7475C042" w14:textId="77777777">
        <w:tc>
          <w:tcPr>
            <w:tcW w:w="817" w:type="dxa"/>
            <w:vAlign w:val="center"/>
          </w:tcPr>
          <w:p w14:paraId="7A740946" w14:textId="77777777" w:rsidR="00C83608" w:rsidRDefault="00000000">
            <w:pPr>
              <w:jc w:val="center"/>
              <w:rPr>
                <w:sz w:val="22"/>
                <w:szCs w:val="24"/>
              </w:rPr>
            </w:pPr>
            <w:r>
              <w:rPr>
                <w:sz w:val="22"/>
                <w:szCs w:val="24"/>
              </w:rPr>
              <w:t>Ⅲ</w:t>
            </w:r>
          </w:p>
        </w:tc>
        <w:tc>
          <w:tcPr>
            <w:tcW w:w="2410" w:type="dxa"/>
            <w:vAlign w:val="center"/>
          </w:tcPr>
          <w:p w14:paraId="5094CD92" w14:textId="77777777" w:rsidR="00C83608" w:rsidRDefault="00000000">
            <w:pPr>
              <w:jc w:val="center"/>
              <w:rPr>
                <w:sz w:val="22"/>
                <w:szCs w:val="24"/>
              </w:rPr>
            </w:pPr>
            <w:r>
              <w:rPr>
                <w:sz w:val="22"/>
                <w:szCs w:val="24"/>
              </w:rPr>
              <w:t>过热蒸汽、水或其他流体</w:t>
            </w:r>
          </w:p>
        </w:tc>
        <w:tc>
          <w:tcPr>
            <w:tcW w:w="3118" w:type="dxa"/>
            <w:vAlign w:val="center"/>
          </w:tcPr>
          <w:p w14:paraId="779F3FB7" w14:textId="77777777" w:rsidR="00C83608" w:rsidRDefault="00000000">
            <w:pPr>
              <w:jc w:val="center"/>
              <w:rPr>
                <w:sz w:val="22"/>
                <w:szCs w:val="24"/>
              </w:rPr>
            </w:pPr>
            <w:r>
              <w:rPr>
                <w:sz w:val="22"/>
                <w:szCs w:val="24"/>
              </w:rPr>
              <w:t>依矿物埋藏的深度而定</w:t>
            </w:r>
          </w:p>
        </w:tc>
        <w:tc>
          <w:tcPr>
            <w:tcW w:w="2177" w:type="dxa"/>
            <w:vAlign w:val="center"/>
          </w:tcPr>
          <w:p w14:paraId="335C3BFA" w14:textId="77777777" w:rsidR="00C83608" w:rsidRDefault="00000000">
            <w:pPr>
              <w:jc w:val="center"/>
              <w:rPr>
                <w:sz w:val="22"/>
                <w:szCs w:val="24"/>
              </w:rPr>
            </w:pPr>
            <w:r>
              <w:rPr>
                <w:sz w:val="22"/>
                <w:szCs w:val="24"/>
              </w:rPr>
              <w:t>盐类的溶剂采掘、铀或其他金属的现场滤取、采用</w:t>
            </w:r>
            <w:r>
              <w:rPr>
                <w:sz w:val="22"/>
                <w:szCs w:val="24"/>
              </w:rPr>
              <w:t>Frasch</w:t>
            </w:r>
            <w:r>
              <w:rPr>
                <w:sz w:val="22"/>
                <w:szCs w:val="24"/>
              </w:rPr>
              <w:t>工艺开采硫磺矿</w:t>
            </w:r>
          </w:p>
        </w:tc>
      </w:tr>
      <w:tr w:rsidR="00C83608" w14:paraId="1ECCF7DD" w14:textId="77777777">
        <w:tc>
          <w:tcPr>
            <w:tcW w:w="817" w:type="dxa"/>
            <w:vAlign w:val="center"/>
          </w:tcPr>
          <w:p w14:paraId="645D8708" w14:textId="77777777" w:rsidR="00C83608" w:rsidRDefault="00000000">
            <w:pPr>
              <w:jc w:val="center"/>
              <w:rPr>
                <w:sz w:val="22"/>
                <w:szCs w:val="24"/>
              </w:rPr>
            </w:pPr>
            <w:r>
              <w:rPr>
                <w:sz w:val="22"/>
                <w:szCs w:val="24"/>
              </w:rPr>
              <w:t>Ⅳ</w:t>
            </w:r>
          </w:p>
        </w:tc>
        <w:tc>
          <w:tcPr>
            <w:tcW w:w="2410" w:type="dxa"/>
            <w:vAlign w:val="center"/>
          </w:tcPr>
          <w:p w14:paraId="73121CD6" w14:textId="77777777" w:rsidR="00C83608" w:rsidRDefault="00000000">
            <w:pPr>
              <w:jc w:val="center"/>
              <w:rPr>
                <w:sz w:val="22"/>
                <w:szCs w:val="24"/>
              </w:rPr>
            </w:pPr>
            <w:r>
              <w:rPr>
                <w:sz w:val="22"/>
                <w:szCs w:val="24"/>
              </w:rPr>
              <w:t>危险性废物和放射性废物</w:t>
            </w:r>
          </w:p>
        </w:tc>
        <w:tc>
          <w:tcPr>
            <w:tcW w:w="3118" w:type="dxa"/>
            <w:vAlign w:val="center"/>
          </w:tcPr>
          <w:p w14:paraId="18E94344" w14:textId="77777777" w:rsidR="00C83608" w:rsidRDefault="00000000">
            <w:pPr>
              <w:jc w:val="center"/>
              <w:rPr>
                <w:sz w:val="22"/>
                <w:szCs w:val="24"/>
              </w:rPr>
            </w:pPr>
            <w:r>
              <w:rPr>
                <w:sz w:val="22"/>
                <w:szCs w:val="24"/>
              </w:rPr>
              <w:t>地下饮用水层之下</w:t>
            </w:r>
          </w:p>
        </w:tc>
        <w:tc>
          <w:tcPr>
            <w:tcW w:w="2177" w:type="dxa"/>
            <w:vAlign w:val="center"/>
          </w:tcPr>
          <w:p w14:paraId="47C6558E" w14:textId="77777777" w:rsidR="00C83608" w:rsidRDefault="00000000">
            <w:pPr>
              <w:jc w:val="center"/>
              <w:rPr>
                <w:sz w:val="22"/>
                <w:szCs w:val="24"/>
              </w:rPr>
            </w:pPr>
            <w:r>
              <w:rPr>
                <w:sz w:val="22"/>
                <w:szCs w:val="24"/>
              </w:rPr>
              <w:t>该类井由于直接危害公众健康，已被禁止使用</w:t>
            </w:r>
          </w:p>
        </w:tc>
      </w:tr>
      <w:tr w:rsidR="00C83608" w14:paraId="61B2661B" w14:textId="77777777">
        <w:tc>
          <w:tcPr>
            <w:tcW w:w="817" w:type="dxa"/>
            <w:vAlign w:val="center"/>
          </w:tcPr>
          <w:p w14:paraId="384D9381" w14:textId="77777777" w:rsidR="00C83608" w:rsidRDefault="00000000">
            <w:pPr>
              <w:jc w:val="center"/>
              <w:rPr>
                <w:sz w:val="22"/>
                <w:szCs w:val="24"/>
              </w:rPr>
            </w:pPr>
            <w:r>
              <w:rPr>
                <w:sz w:val="22"/>
                <w:szCs w:val="24"/>
              </w:rPr>
              <w:t>Ⅴ</w:t>
            </w:r>
          </w:p>
        </w:tc>
        <w:tc>
          <w:tcPr>
            <w:tcW w:w="2410" w:type="dxa"/>
            <w:vAlign w:val="center"/>
          </w:tcPr>
          <w:p w14:paraId="13209AE0" w14:textId="77777777" w:rsidR="00C83608" w:rsidRDefault="00000000">
            <w:pPr>
              <w:jc w:val="center"/>
              <w:rPr>
                <w:sz w:val="22"/>
                <w:szCs w:val="24"/>
              </w:rPr>
            </w:pPr>
            <w:r>
              <w:rPr>
                <w:sz w:val="22"/>
                <w:szCs w:val="24"/>
              </w:rPr>
              <w:t>没有</w:t>
            </w:r>
            <w:proofErr w:type="gramStart"/>
            <w:r>
              <w:rPr>
                <w:sz w:val="22"/>
                <w:szCs w:val="24"/>
              </w:rPr>
              <w:t>被以上</w:t>
            </w:r>
            <w:proofErr w:type="gramEnd"/>
            <w:r>
              <w:rPr>
                <w:sz w:val="22"/>
                <w:szCs w:val="24"/>
              </w:rPr>
              <w:t>四类井回灌废液包括的液体类型</w:t>
            </w:r>
          </w:p>
        </w:tc>
        <w:tc>
          <w:tcPr>
            <w:tcW w:w="3118" w:type="dxa"/>
            <w:vAlign w:val="center"/>
          </w:tcPr>
          <w:p w14:paraId="64E24323" w14:textId="77777777" w:rsidR="00C83608" w:rsidRDefault="00000000">
            <w:pPr>
              <w:jc w:val="center"/>
              <w:rPr>
                <w:sz w:val="22"/>
                <w:szCs w:val="24"/>
              </w:rPr>
            </w:pPr>
            <w:r>
              <w:rPr>
                <w:sz w:val="22"/>
                <w:szCs w:val="24"/>
              </w:rPr>
              <w:t>根据实际需要</w:t>
            </w:r>
          </w:p>
        </w:tc>
        <w:tc>
          <w:tcPr>
            <w:tcW w:w="2177" w:type="dxa"/>
            <w:vAlign w:val="center"/>
          </w:tcPr>
          <w:p w14:paraId="573685A8" w14:textId="77777777" w:rsidR="00C83608" w:rsidRDefault="00000000">
            <w:pPr>
              <w:jc w:val="center"/>
              <w:rPr>
                <w:sz w:val="22"/>
                <w:szCs w:val="24"/>
              </w:rPr>
            </w:pPr>
            <w:r>
              <w:rPr>
                <w:sz w:val="22"/>
                <w:szCs w:val="24"/>
              </w:rPr>
              <w:t>据实际需要热泵系统中空调水回灌含水层；</w:t>
            </w:r>
            <w:r>
              <w:rPr>
                <w:sz w:val="22"/>
                <w:szCs w:val="24"/>
              </w:rPr>
              <w:t xml:space="preserve"> </w:t>
            </w:r>
            <w:r>
              <w:rPr>
                <w:sz w:val="22"/>
                <w:szCs w:val="24"/>
              </w:rPr>
              <w:t>地表流体的排泄，主要为暴雨径流回灌地层；</w:t>
            </w:r>
            <w:r>
              <w:rPr>
                <w:sz w:val="22"/>
                <w:szCs w:val="24"/>
              </w:rPr>
              <w:t xml:space="preserve"> </w:t>
            </w:r>
            <w:r>
              <w:rPr>
                <w:sz w:val="22"/>
                <w:szCs w:val="24"/>
              </w:rPr>
              <w:t>含水层的补给井；</w:t>
            </w:r>
            <w:r>
              <w:rPr>
                <w:sz w:val="22"/>
                <w:szCs w:val="24"/>
              </w:rPr>
              <w:t xml:space="preserve"> </w:t>
            </w:r>
            <w:r>
              <w:rPr>
                <w:sz w:val="22"/>
                <w:szCs w:val="24"/>
              </w:rPr>
              <w:t>控制地面沉降的地下水回灌井等</w:t>
            </w:r>
          </w:p>
        </w:tc>
      </w:tr>
      <w:tr w:rsidR="00C83608" w14:paraId="5C7C7A6B" w14:textId="77777777">
        <w:trPr>
          <w:trHeight w:val="375"/>
        </w:trPr>
        <w:tc>
          <w:tcPr>
            <w:tcW w:w="817" w:type="dxa"/>
            <w:vAlign w:val="center"/>
          </w:tcPr>
          <w:p w14:paraId="1403FF1D" w14:textId="77777777" w:rsidR="00C83608" w:rsidRDefault="00000000">
            <w:pPr>
              <w:jc w:val="center"/>
              <w:rPr>
                <w:sz w:val="22"/>
                <w:szCs w:val="24"/>
              </w:rPr>
            </w:pPr>
            <w:r>
              <w:rPr>
                <w:sz w:val="22"/>
                <w:szCs w:val="24"/>
              </w:rPr>
              <w:t>Ⅵ</w:t>
            </w:r>
          </w:p>
        </w:tc>
        <w:tc>
          <w:tcPr>
            <w:tcW w:w="2410" w:type="dxa"/>
            <w:vAlign w:val="center"/>
          </w:tcPr>
          <w:p w14:paraId="785EC530" w14:textId="77777777" w:rsidR="00C83608" w:rsidRDefault="00000000">
            <w:pPr>
              <w:jc w:val="center"/>
              <w:rPr>
                <w:sz w:val="22"/>
                <w:szCs w:val="24"/>
              </w:rPr>
            </w:pPr>
            <w:r>
              <w:rPr>
                <w:sz w:val="22"/>
                <w:szCs w:val="24"/>
              </w:rPr>
              <w:t>CO</w:t>
            </w:r>
            <w:r>
              <w:rPr>
                <w:sz w:val="22"/>
                <w:szCs w:val="24"/>
                <w:vertAlign w:val="subscript"/>
              </w:rPr>
              <w:t>2</w:t>
            </w:r>
          </w:p>
        </w:tc>
        <w:tc>
          <w:tcPr>
            <w:tcW w:w="3118" w:type="dxa"/>
            <w:vAlign w:val="center"/>
          </w:tcPr>
          <w:p w14:paraId="66BFB17B" w14:textId="77777777" w:rsidR="00C83608" w:rsidRDefault="00000000">
            <w:pPr>
              <w:jc w:val="center"/>
              <w:rPr>
                <w:sz w:val="22"/>
                <w:szCs w:val="24"/>
              </w:rPr>
            </w:pPr>
            <w:r>
              <w:rPr>
                <w:sz w:val="22"/>
                <w:szCs w:val="24"/>
              </w:rPr>
              <w:t>枯竭油气藏，地下含水层等</w:t>
            </w:r>
          </w:p>
        </w:tc>
        <w:tc>
          <w:tcPr>
            <w:tcW w:w="2177" w:type="dxa"/>
            <w:vAlign w:val="center"/>
          </w:tcPr>
          <w:p w14:paraId="63089D03" w14:textId="77777777" w:rsidR="00C83608" w:rsidRDefault="00000000">
            <w:pPr>
              <w:jc w:val="center"/>
              <w:rPr>
                <w:sz w:val="22"/>
                <w:szCs w:val="24"/>
              </w:rPr>
            </w:pPr>
            <w:r>
              <w:rPr>
                <w:sz w:val="22"/>
                <w:szCs w:val="24"/>
              </w:rPr>
              <w:t>应对全球气候变化</w:t>
            </w:r>
          </w:p>
        </w:tc>
      </w:tr>
    </w:tbl>
    <w:p w14:paraId="2E713E27"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sz w:val="24"/>
          <w:szCs w:val="24"/>
        </w:rPr>
        <w:t>在美国，为保证回灌工程不会对环境造成影响，防止注入的废液转移、扩散、</w:t>
      </w:r>
      <w:r>
        <w:rPr>
          <w:rFonts w:ascii="Times New Roman" w:eastAsia="宋体" w:hAnsi="Times New Roman" w:cs="Times New Roman"/>
          <w:sz w:val="24"/>
          <w:szCs w:val="24"/>
        </w:rPr>
        <w:lastRenderedPageBreak/>
        <w:t>泄露到地下饮用水源，深井回灌技术对选址、井结构、灌注液与灌注</w:t>
      </w:r>
      <w:proofErr w:type="gramStart"/>
      <w:r>
        <w:rPr>
          <w:rFonts w:ascii="Times New Roman" w:eastAsia="宋体" w:hAnsi="Times New Roman" w:cs="Times New Roman"/>
          <w:sz w:val="24"/>
          <w:szCs w:val="24"/>
        </w:rPr>
        <w:t>井材料</w:t>
      </w:r>
      <w:proofErr w:type="gramEnd"/>
      <w:r>
        <w:rPr>
          <w:rFonts w:ascii="Times New Roman" w:eastAsia="宋体" w:hAnsi="Times New Roman" w:cs="Times New Roman"/>
          <w:sz w:val="24"/>
          <w:szCs w:val="24"/>
        </w:rPr>
        <w:t>相容性、操作与监控、闭井都要严格的规范要求。</w:t>
      </w:r>
    </w:p>
    <w:p w14:paraId="496A2B7E"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本标准建立的主要借鉴《</w:t>
      </w:r>
      <w:r>
        <w:rPr>
          <w:rFonts w:ascii="Times New Roman" w:eastAsia="宋体" w:hAnsi="Times New Roman" w:cs="Times New Roman"/>
          <w:sz w:val="24"/>
          <w:szCs w:val="24"/>
        </w:rPr>
        <w:t>Underground Injection Control(UIC)</w:t>
      </w:r>
      <w:r>
        <w:rPr>
          <w:rFonts w:ascii="Times New Roman" w:eastAsia="宋体" w:hAnsi="Times New Roman" w:cs="Times New Roman" w:hint="eastAsia"/>
          <w:sz w:val="24"/>
          <w:szCs w:val="24"/>
        </w:rPr>
        <w:t>》管控法案中的</w:t>
      </w:r>
      <w:r>
        <w:rPr>
          <w:rFonts w:ascii="Times New Roman" w:eastAsia="宋体" w:hAnsi="Times New Roman" w:cs="Times New Roman" w:hint="eastAsia"/>
          <w:sz w:val="24"/>
          <w:szCs w:val="24"/>
        </w:rPr>
        <w:t>I</w:t>
      </w:r>
      <w:r>
        <w:rPr>
          <w:rFonts w:ascii="Times New Roman" w:eastAsia="宋体" w:hAnsi="Times New Roman" w:cs="Times New Roman" w:hint="eastAsia"/>
          <w:sz w:val="24"/>
          <w:szCs w:val="24"/>
        </w:rPr>
        <w:t>类井及</w:t>
      </w:r>
      <w:r>
        <w:rPr>
          <w:rFonts w:ascii="Times New Roman" w:eastAsia="宋体" w:hAnsi="Times New Roman" w:cs="Times New Roman" w:hint="eastAsia"/>
          <w:sz w:val="24"/>
          <w:szCs w:val="24"/>
        </w:rPr>
        <w:t>II</w:t>
      </w:r>
      <w:r>
        <w:rPr>
          <w:rFonts w:ascii="Times New Roman" w:eastAsia="宋体" w:hAnsi="Times New Roman" w:cs="Times New Roman" w:hint="eastAsia"/>
          <w:sz w:val="24"/>
          <w:szCs w:val="24"/>
        </w:rPr>
        <w:t>类井的技术规范及管理办法，结合我国实际地质条件及政府及地方环保要求尤其对矿井水治理与管理的要求，进行有针对性地研究与探讨，旨在制定出完全适合我国煤矿行业发展的，适合煤矿矿井水处理的一系列技术标准。</w:t>
      </w:r>
    </w:p>
    <w:p w14:paraId="09136C00" w14:textId="5F13D6B0" w:rsidR="00C83608" w:rsidRDefault="005518E7">
      <w:pPr>
        <w:outlineLvl w:val="0"/>
        <w:rPr>
          <w:b/>
          <w:bCs/>
          <w:sz w:val="28"/>
          <w:szCs w:val="28"/>
        </w:rPr>
      </w:pPr>
      <w:r>
        <w:rPr>
          <w:rFonts w:hint="eastAsia"/>
          <w:b/>
          <w:bCs/>
          <w:sz w:val="28"/>
          <w:szCs w:val="28"/>
        </w:rPr>
        <w:t>四、重大分歧意见的处理经过和依据；</w:t>
      </w:r>
    </w:p>
    <w:p w14:paraId="4922ECB4"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无</w:t>
      </w:r>
    </w:p>
    <w:p w14:paraId="5BDF91C7" w14:textId="0AEEEB85" w:rsidR="00C83608" w:rsidRDefault="005518E7" w:rsidP="005518E7">
      <w:pPr>
        <w:outlineLvl w:val="0"/>
        <w:rPr>
          <w:sz w:val="28"/>
          <w:szCs w:val="28"/>
        </w:rPr>
      </w:pPr>
      <w:r>
        <w:rPr>
          <w:rFonts w:hint="eastAsia"/>
          <w:b/>
          <w:bCs/>
          <w:sz w:val="28"/>
          <w:szCs w:val="28"/>
        </w:rPr>
        <w:t>五、贯彻中国煤炭学会标准的要求和措施建议</w:t>
      </w:r>
    </w:p>
    <w:p w14:paraId="2AE857B6" w14:textId="0ACDF34F"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中国煤炭地质总局专门针对本项目研究成立课题组，委任杜松为项目负责人，全面负责“煤矿矿井水深井灌注技术规范”项目研究，其他项目成员分工如下表。</w:t>
      </w:r>
    </w:p>
    <w:p w14:paraId="2E79A17B" w14:textId="77777777" w:rsidR="00C83608" w:rsidRDefault="00000000">
      <w:pPr>
        <w:pStyle w:val="a0"/>
        <w:jc w:val="center"/>
        <w:rPr>
          <w:b/>
          <w:bCs/>
          <w:szCs w:val="21"/>
        </w:rPr>
      </w:pPr>
      <w:r>
        <w:rPr>
          <w:rFonts w:ascii="Times New Roman" w:eastAsia="宋体" w:hAnsi="Times New Roman" w:cs="Times New Roman" w:hint="eastAsia"/>
          <w:b/>
          <w:bCs/>
          <w:szCs w:val="21"/>
        </w:rPr>
        <w:t>表</w:t>
      </w:r>
      <w:r>
        <w:rPr>
          <w:rFonts w:ascii="Times New Roman" w:eastAsia="宋体" w:hAnsi="Times New Roman" w:cs="Times New Roman" w:hint="eastAsia"/>
          <w:b/>
          <w:bCs/>
          <w:szCs w:val="21"/>
        </w:rPr>
        <w:t>6-1</w:t>
      </w:r>
      <w:r>
        <w:rPr>
          <w:rFonts w:ascii="Times New Roman" w:eastAsia="宋体" w:hAnsi="Times New Roman" w:cs="Times New Roman" w:hint="eastAsia"/>
          <w:b/>
          <w:bCs/>
          <w:szCs w:val="21"/>
        </w:rPr>
        <w:t>人员分工表</w:t>
      </w:r>
    </w:p>
    <w:tbl>
      <w:tblPr>
        <w:tblStyle w:val="a9"/>
        <w:tblW w:w="0" w:type="auto"/>
        <w:tblLook w:val="04A0" w:firstRow="1" w:lastRow="0" w:firstColumn="1" w:lastColumn="0" w:noHBand="0" w:noVBand="1"/>
      </w:tblPr>
      <w:tblGrid>
        <w:gridCol w:w="649"/>
        <w:gridCol w:w="943"/>
        <w:gridCol w:w="3334"/>
        <w:gridCol w:w="3370"/>
      </w:tblGrid>
      <w:tr w:rsidR="00C83608" w14:paraId="690F309F" w14:textId="77777777">
        <w:tc>
          <w:tcPr>
            <w:tcW w:w="656" w:type="dxa"/>
            <w:vAlign w:val="center"/>
          </w:tcPr>
          <w:p w14:paraId="0B34C6A6"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序号</w:t>
            </w:r>
          </w:p>
        </w:tc>
        <w:tc>
          <w:tcPr>
            <w:tcW w:w="960" w:type="dxa"/>
            <w:vAlign w:val="center"/>
          </w:tcPr>
          <w:p w14:paraId="02B5956A"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姓名</w:t>
            </w:r>
          </w:p>
        </w:tc>
        <w:tc>
          <w:tcPr>
            <w:tcW w:w="3434" w:type="dxa"/>
            <w:vAlign w:val="center"/>
          </w:tcPr>
          <w:p w14:paraId="0B31C573"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单位</w:t>
            </w:r>
          </w:p>
        </w:tc>
        <w:tc>
          <w:tcPr>
            <w:tcW w:w="3472" w:type="dxa"/>
            <w:vAlign w:val="center"/>
          </w:tcPr>
          <w:p w14:paraId="0F707A44"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项目分工</w:t>
            </w:r>
          </w:p>
        </w:tc>
      </w:tr>
      <w:tr w:rsidR="00C83608" w14:paraId="4F7C2D3A" w14:textId="77777777">
        <w:tc>
          <w:tcPr>
            <w:tcW w:w="656" w:type="dxa"/>
            <w:vAlign w:val="center"/>
          </w:tcPr>
          <w:p w14:paraId="06C941FB"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1</w:t>
            </w:r>
          </w:p>
        </w:tc>
        <w:tc>
          <w:tcPr>
            <w:tcW w:w="960" w:type="dxa"/>
            <w:vAlign w:val="center"/>
          </w:tcPr>
          <w:p w14:paraId="71F4FFDD"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杜松</w:t>
            </w:r>
          </w:p>
        </w:tc>
        <w:tc>
          <w:tcPr>
            <w:tcW w:w="3434" w:type="dxa"/>
            <w:vAlign w:val="center"/>
          </w:tcPr>
          <w:p w14:paraId="5F08BEA3"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6D866F12"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595FE90B"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总体负责</w:t>
            </w:r>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煤矿高盐水深井灌注研究</w:t>
            </w:r>
          </w:p>
        </w:tc>
      </w:tr>
      <w:tr w:rsidR="00C83608" w14:paraId="51229298" w14:textId="77777777">
        <w:tc>
          <w:tcPr>
            <w:tcW w:w="656" w:type="dxa"/>
            <w:vAlign w:val="center"/>
          </w:tcPr>
          <w:p w14:paraId="69DFE8ED"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2</w:t>
            </w:r>
          </w:p>
        </w:tc>
        <w:tc>
          <w:tcPr>
            <w:tcW w:w="960" w:type="dxa"/>
            <w:vAlign w:val="center"/>
          </w:tcPr>
          <w:p w14:paraId="4DF7CAA7"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赵岳</w:t>
            </w:r>
          </w:p>
        </w:tc>
        <w:tc>
          <w:tcPr>
            <w:tcW w:w="3434" w:type="dxa"/>
            <w:vAlign w:val="center"/>
          </w:tcPr>
          <w:p w14:paraId="36263A7E"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739EB4BC"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2A887CA5" w14:textId="77777777" w:rsidR="00C83608" w:rsidRDefault="00000000">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高矿化度矿井水灌注技术研究</w:t>
            </w:r>
          </w:p>
        </w:tc>
      </w:tr>
      <w:tr w:rsidR="00D07F1E" w14:paraId="7EAB0797" w14:textId="77777777">
        <w:tc>
          <w:tcPr>
            <w:tcW w:w="656" w:type="dxa"/>
            <w:vAlign w:val="center"/>
          </w:tcPr>
          <w:p w14:paraId="365EA417"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3</w:t>
            </w:r>
          </w:p>
        </w:tc>
        <w:tc>
          <w:tcPr>
            <w:tcW w:w="960" w:type="dxa"/>
            <w:vAlign w:val="center"/>
          </w:tcPr>
          <w:p w14:paraId="67C9DC25"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张玉峰</w:t>
            </w:r>
          </w:p>
        </w:tc>
        <w:tc>
          <w:tcPr>
            <w:tcW w:w="3434" w:type="dxa"/>
            <w:vAlign w:val="center"/>
          </w:tcPr>
          <w:p w14:paraId="460F76D2"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5A4E2809"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0362C1A2"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技术相关政策法规研究</w:t>
            </w:r>
          </w:p>
        </w:tc>
      </w:tr>
      <w:tr w:rsidR="00D07F1E" w14:paraId="638BEB72" w14:textId="77777777">
        <w:tc>
          <w:tcPr>
            <w:tcW w:w="656" w:type="dxa"/>
            <w:vAlign w:val="center"/>
          </w:tcPr>
          <w:p w14:paraId="024F1E5A"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4</w:t>
            </w:r>
          </w:p>
        </w:tc>
        <w:tc>
          <w:tcPr>
            <w:tcW w:w="960" w:type="dxa"/>
            <w:vAlign w:val="center"/>
          </w:tcPr>
          <w:p w14:paraId="304C04CA"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谢志清</w:t>
            </w:r>
          </w:p>
        </w:tc>
        <w:tc>
          <w:tcPr>
            <w:tcW w:w="3434" w:type="dxa"/>
            <w:vAlign w:val="center"/>
          </w:tcPr>
          <w:p w14:paraId="6F6085A9"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64F491CA"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1589D3B8"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专家顾问</w:t>
            </w:r>
          </w:p>
        </w:tc>
      </w:tr>
      <w:tr w:rsidR="00D07F1E" w14:paraId="33E31165" w14:textId="77777777">
        <w:tc>
          <w:tcPr>
            <w:tcW w:w="656" w:type="dxa"/>
            <w:vAlign w:val="center"/>
          </w:tcPr>
          <w:p w14:paraId="09D457B3"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5</w:t>
            </w:r>
          </w:p>
        </w:tc>
        <w:tc>
          <w:tcPr>
            <w:tcW w:w="960" w:type="dxa"/>
            <w:vAlign w:val="center"/>
          </w:tcPr>
          <w:p w14:paraId="323514FE"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丁晏</w:t>
            </w:r>
          </w:p>
        </w:tc>
        <w:tc>
          <w:tcPr>
            <w:tcW w:w="3434" w:type="dxa"/>
            <w:vAlign w:val="center"/>
          </w:tcPr>
          <w:p w14:paraId="39731922"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0F98046C" w14:textId="77777777" w:rsidR="00D07F1E" w:rsidRDefault="00D07F1E" w:rsidP="00D07F1E">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55EE5942"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灌注水质标准研究</w:t>
            </w:r>
          </w:p>
        </w:tc>
      </w:tr>
      <w:tr w:rsidR="00D07F1E" w14:paraId="6C546BB8" w14:textId="77777777">
        <w:tc>
          <w:tcPr>
            <w:tcW w:w="656" w:type="dxa"/>
            <w:vAlign w:val="center"/>
          </w:tcPr>
          <w:p w14:paraId="291F100E"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6</w:t>
            </w:r>
          </w:p>
        </w:tc>
        <w:tc>
          <w:tcPr>
            <w:tcW w:w="960" w:type="dxa"/>
            <w:vAlign w:val="center"/>
          </w:tcPr>
          <w:p w14:paraId="27B7C40D"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宋思彤</w:t>
            </w:r>
          </w:p>
        </w:tc>
        <w:tc>
          <w:tcPr>
            <w:tcW w:w="3434" w:type="dxa"/>
            <w:vAlign w:val="center"/>
          </w:tcPr>
          <w:p w14:paraId="4FE8EDD4"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35F8C651"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23DCE546"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地层选择研究</w:t>
            </w:r>
          </w:p>
        </w:tc>
      </w:tr>
      <w:tr w:rsidR="00D07F1E" w14:paraId="12B093B6" w14:textId="77777777">
        <w:tc>
          <w:tcPr>
            <w:tcW w:w="656" w:type="dxa"/>
            <w:vAlign w:val="center"/>
          </w:tcPr>
          <w:p w14:paraId="7DB56202"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7</w:t>
            </w:r>
          </w:p>
        </w:tc>
        <w:tc>
          <w:tcPr>
            <w:tcW w:w="960" w:type="dxa"/>
            <w:vAlign w:val="center"/>
          </w:tcPr>
          <w:p w14:paraId="327DE3C8"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范莹琳</w:t>
            </w:r>
          </w:p>
        </w:tc>
        <w:tc>
          <w:tcPr>
            <w:tcW w:w="3434" w:type="dxa"/>
            <w:vAlign w:val="center"/>
          </w:tcPr>
          <w:p w14:paraId="22984FA4"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48341434" w14:textId="77777777" w:rsidR="00D07F1E" w:rsidRDefault="00D07F1E" w:rsidP="00D07F1E">
            <w:pPr>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10F7EFA0"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灌注</w:t>
            </w:r>
            <w:proofErr w:type="gramStart"/>
            <w:r>
              <w:rPr>
                <w:rFonts w:ascii="Times New Roman" w:eastAsia="宋体" w:hAnsi="Times New Roman" w:cs="Times New Roman" w:hint="eastAsia"/>
                <w:sz w:val="24"/>
                <w:szCs w:val="24"/>
              </w:rPr>
              <w:t>井研究</w:t>
            </w:r>
            <w:proofErr w:type="gramEnd"/>
            <w:r>
              <w:rPr>
                <w:rFonts w:ascii="Times New Roman" w:eastAsia="宋体" w:hAnsi="Times New Roman" w:cs="Times New Roman" w:hint="eastAsia"/>
                <w:sz w:val="24"/>
                <w:szCs w:val="24"/>
              </w:rPr>
              <w:t>/</w:t>
            </w:r>
            <w:r>
              <w:rPr>
                <w:rFonts w:ascii="Times New Roman" w:eastAsia="宋体" w:hAnsi="Times New Roman" w:cs="Times New Roman" w:hint="eastAsia"/>
                <w:sz w:val="24"/>
                <w:szCs w:val="24"/>
              </w:rPr>
              <w:t>国外标准研究</w:t>
            </w:r>
          </w:p>
        </w:tc>
      </w:tr>
      <w:tr w:rsidR="00D07F1E" w14:paraId="093A1EAD" w14:textId="77777777">
        <w:tc>
          <w:tcPr>
            <w:tcW w:w="656" w:type="dxa"/>
            <w:vAlign w:val="center"/>
          </w:tcPr>
          <w:p w14:paraId="1B1F64A4"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8</w:t>
            </w:r>
          </w:p>
        </w:tc>
        <w:tc>
          <w:tcPr>
            <w:tcW w:w="960" w:type="dxa"/>
            <w:vAlign w:val="center"/>
          </w:tcPr>
          <w:p w14:paraId="1E64B1E9" w14:textId="77777777" w:rsidR="00D07F1E" w:rsidRDefault="00D07F1E" w:rsidP="00D07F1E">
            <w:pPr>
              <w:pStyle w:val="a0"/>
              <w:jc w:val="center"/>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车巧慧</w:t>
            </w:r>
            <w:proofErr w:type="gramEnd"/>
          </w:p>
        </w:tc>
        <w:tc>
          <w:tcPr>
            <w:tcW w:w="3434" w:type="dxa"/>
            <w:vAlign w:val="center"/>
          </w:tcPr>
          <w:p w14:paraId="1809F251"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中国煤炭地质总局</w:t>
            </w:r>
          </w:p>
          <w:p w14:paraId="50A1C985"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勘查研究总院</w:t>
            </w:r>
          </w:p>
        </w:tc>
        <w:tc>
          <w:tcPr>
            <w:tcW w:w="3472" w:type="dxa"/>
            <w:vAlign w:val="center"/>
          </w:tcPr>
          <w:p w14:paraId="69BCC0B7" w14:textId="77777777" w:rsidR="00D07F1E" w:rsidRDefault="00D07F1E" w:rsidP="00D07F1E">
            <w:pPr>
              <w:pStyle w:val="a0"/>
              <w:jc w:val="center"/>
              <w:rPr>
                <w:rFonts w:ascii="Times New Roman" w:eastAsia="宋体" w:hAnsi="Times New Roman" w:cs="Times New Roman"/>
                <w:sz w:val="24"/>
                <w:szCs w:val="24"/>
              </w:rPr>
            </w:pPr>
            <w:r>
              <w:rPr>
                <w:rFonts w:ascii="Times New Roman" w:eastAsia="宋体" w:hAnsi="Times New Roman" w:cs="Times New Roman" w:hint="eastAsia"/>
                <w:sz w:val="24"/>
                <w:szCs w:val="24"/>
              </w:rPr>
              <w:t>灌注</w:t>
            </w:r>
            <w:proofErr w:type="gramStart"/>
            <w:r>
              <w:rPr>
                <w:rFonts w:ascii="Times New Roman" w:eastAsia="宋体" w:hAnsi="Times New Roman" w:cs="Times New Roman" w:hint="eastAsia"/>
                <w:sz w:val="24"/>
                <w:szCs w:val="24"/>
              </w:rPr>
              <w:t>井建设</w:t>
            </w:r>
            <w:proofErr w:type="gramEnd"/>
            <w:r>
              <w:rPr>
                <w:rFonts w:ascii="Times New Roman" w:eastAsia="宋体" w:hAnsi="Times New Roman" w:cs="Times New Roman" w:hint="eastAsia"/>
                <w:sz w:val="24"/>
                <w:szCs w:val="24"/>
              </w:rPr>
              <w:t>方法</w:t>
            </w:r>
          </w:p>
        </w:tc>
      </w:tr>
    </w:tbl>
    <w:p w14:paraId="15B77F6F"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根据本项标准的研究的内容，设立</w:t>
      </w:r>
      <w:r>
        <w:rPr>
          <w:rFonts w:ascii="Times New Roman" w:eastAsia="宋体" w:hAnsi="Times New Roman" w:cs="Times New Roman" w:hint="eastAsia"/>
          <w:sz w:val="24"/>
          <w:szCs w:val="24"/>
        </w:rPr>
        <w:t>3</w:t>
      </w:r>
      <w:r>
        <w:rPr>
          <w:rFonts w:ascii="Times New Roman" w:eastAsia="宋体" w:hAnsi="Times New Roman" w:cs="Times New Roman" w:hint="eastAsia"/>
          <w:sz w:val="24"/>
          <w:szCs w:val="24"/>
        </w:rPr>
        <w:t>个技术小组，保障项目高效进行。</w:t>
      </w:r>
    </w:p>
    <w:p w14:paraId="3BA07BB9" w14:textId="77777777" w:rsidR="00C83608" w:rsidRDefault="00000000">
      <w:pPr>
        <w:outlineLvl w:val="0"/>
        <w:rPr>
          <w:b/>
          <w:bCs/>
          <w:sz w:val="28"/>
          <w:szCs w:val="28"/>
        </w:rPr>
      </w:pPr>
      <w:r>
        <w:rPr>
          <w:rFonts w:hint="eastAsia"/>
          <w:b/>
          <w:bCs/>
          <w:sz w:val="28"/>
          <w:szCs w:val="28"/>
        </w:rPr>
        <w:lastRenderedPageBreak/>
        <w:t>七、其他应予说明的事项。</w:t>
      </w:r>
    </w:p>
    <w:p w14:paraId="16B73D1B" w14:textId="77777777" w:rsidR="00C83608" w:rsidRDefault="00000000">
      <w:pPr>
        <w:spacing w:line="360" w:lineRule="auto"/>
        <w:ind w:firstLineChars="200" w:firstLine="480"/>
        <w:rPr>
          <w:rFonts w:ascii="Times New Roman" w:eastAsia="宋体" w:hAnsi="Times New Roman" w:cs="Times New Roman"/>
          <w:sz w:val="24"/>
          <w:szCs w:val="24"/>
        </w:rPr>
      </w:pPr>
      <w:r>
        <w:rPr>
          <w:rFonts w:ascii="Times New Roman" w:eastAsia="宋体" w:hAnsi="Times New Roman" w:cs="Times New Roman" w:hint="eastAsia"/>
          <w:sz w:val="24"/>
          <w:szCs w:val="24"/>
        </w:rPr>
        <w:t>无。</w:t>
      </w:r>
    </w:p>
    <w:sectPr w:rsidR="00C8360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CF7D05" w14:textId="77777777" w:rsidR="00643B8D" w:rsidRDefault="00643B8D">
      <w:r>
        <w:separator/>
      </w:r>
    </w:p>
  </w:endnote>
  <w:endnote w:type="continuationSeparator" w:id="0">
    <w:p w14:paraId="466B7142" w14:textId="77777777" w:rsidR="00643B8D" w:rsidRDefault="00643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D748C" w14:textId="77777777" w:rsidR="00C83608" w:rsidRDefault="00000000">
    <w:pPr>
      <w:pStyle w:val="af9"/>
      <w:rPr>
        <w:rStyle w:val="aa"/>
      </w:rPr>
    </w:pPr>
    <w:r>
      <w:rPr>
        <w:rStyle w:val="aa"/>
      </w:rPr>
      <w:fldChar w:fldCharType="begin"/>
    </w:r>
    <w:r>
      <w:rPr>
        <w:rStyle w:val="aa"/>
      </w:rPr>
      <w:instrText xml:space="preserve">PAGE  </w:instrText>
    </w:r>
    <w:r>
      <w:rPr>
        <w:rStyle w:val="a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B355" w14:textId="77777777" w:rsidR="00C83608" w:rsidRDefault="00000000">
    <w:pPr>
      <w:pStyle w:val="af8"/>
      <w:rPr>
        <w:rStyle w:val="aa"/>
      </w:rPr>
    </w:pPr>
    <w:r>
      <w:rPr>
        <w:rStyle w:val="aa"/>
      </w:rPr>
      <w:fldChar w:fldCharType="begin"/>
    </w:r>
    <w:r>
      <w:rPr>
        <w:rStyle w:val="aa"/>
      </w:rPr>
      <w:instrText xml:space="preserve">PAGE  </w:instrText>
    </w:r>
    <w:r>
      <w:rPr>
        <w:rStyle w:val="aa"/>
      </w:rPr>
      <w:fldChar w:fldCharType="separate"/>
    </w:r>
    <w:r>
      <w:rPr>
        <w:rStyle w:val="aa"/>
      </w:rPr>
      <w:t>1</w:t>
    </w:r>
    <w:r>
      <w:rPr>
        <w:rStyle w:val="a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3EA17" w14:textId="77777777" w:rsidR="00C83608" w:rsidRDefault="00C83608">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9FC66" w14:textId="77777777" w:rsidR="00643B8D" w:rsidRDefault="00643B8D">
      <w:r>
        <w:separator/>
      </w:r>
    </w:p>
  </w:footnote>
  <w:footnote w:type="continuationSeparator" w:id="0">
    <w:p w14:paraId="39A1CDF2" w14:textId="77777777" w:rsidR="00643B8D" w:rsidRDefault="00643B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61640" w14:textId="77777777" w:rsidR="00C83608" w:rsidRDefault="00000000">
    <w:pPr>
      <w:pStyle w:val="af6"/>
    </w:pPr>
    <w:r>
      <w:t>GB/T 15114.1—200×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9030F" w14:textId="77777777" w:rsidR="00C83608" w:rsidRDefault="00000000">
    <w:pPr>
      <w:pStyle w:val="af5"/>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81B9D" w14:textId="77777777" w:rsidR="00C83608" w:rsidRDefault="00000000">
    <w:pPr>
      <w:pStyle w:val="af7"/>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E3E6AA"/>
    <w:multiLevelType w:val="singleLevel"/>
    <w:tmpl w:val="87F89CE8"/>
    <w:lvl w:ilvl="0">
      <w:start w:val="6"/>
      <w:numFmt w:val="chineseCounting"/>
      <w:suff w:val="nothing"/>
      <w:lvlText w:val="%1、"/>
      <w:lvlJc w:val="left"/>
      <w:rPr>
        <w:rFonts w:hint="eastAsia"/>
        <w:b/>
        <w:bCs/>
      </w:rPr>
    </w:lvl>
  </w:abstractNum>
  <w:num w:numId="1" w16cid:durableId="6030006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BBC"/>
    <w:rsid w:val="0002168A"/>
    <w:rsid w:val="00082350"/>
    <w:rsid w:val="0016395C"/>
    <w:rsid w:val="0019031C"/>
    <w:rsid w:val="00190BBC"/>
    <w:rsid w:val="001C1F41"/>
    <w:rsid w:val="002527CB"/>
    <w:rsid w:val="00253889"/>
    <w:rsid w:val="00282A08"/>
    <w:rsid w:val="002E6552"/>
    <w:rsid w:val="002F65FC"/>
    <w:rsid w:val="00330899"/>
    <w:rsid w:val="00351C8B"/>
    <w:rsid w:val="00376AED"/>
    <w:rsid w:val="003B402D"/>
    <w:rsid w:val="003F7D77"/>
    <w:rsid w:val="00415AC6"/>
    <w:rsid w:val="004712B8"/>
    <w:rsid w:val="004D4614"/>
    <w:rsid w:val="00533E8A"/>
    <w:rsid w:val="00544CBD"/>
    <w:rsid w:val="005518E7"/>
    <w:rsid w:val="005779C4"/>
    <w:rsid w:val="00590FBA"/>
    <w:rsid w:val="00594C17"/>
    <w:rsid w:val="005A3E02"/>
    <w:rsid w:val="005B04FE"/>
    <w:rsid w:val="00624933"/>
    <w:rsid w:val="00643B8D"/>
    <w:rsid w:val="00655DAB"/>
    <w:rsid w:val="00655DF7"/>
    <w:rsid w:val="006D5598"/>
    <w:rsid w:val="00721E2A"/>
    <w:rsid w:val="00771A08"/>
    <w:rsid w:val="0079215A"/>
    <w:rsid w:val="007C0A5F"/>
    <w:rsid w:val="0080094F"/>
    <w:rsid w:val="008D21BE"/>
    <w:rsid w:val="009B243D"/>
    <w:rsid w:val="009B547F"/>
    <w:rsid w:val="009D6BED"/>
    <w:rsid w:val="00A857C8"/>
    <w:rsid w:val="00AD67F0"/>
    <w:rsid w:val="00B80DF2"/>
    <w:rsid w:val="00C0429F"/>
    <w:rsid w:val="00C650FD"/>
    <w:rsid w:val="00C83608"/>
    <w:rsid w:val="00D07F1E"/>
    <w:rsid w:val="00D81415"/>
    <w:rsid w:val="00D95185"/>
    <w:rsid w:val="00E815E2"/>
    <w:rsid w:val="00ED200B"/>
    <w:rsid w:val="00ED7B84"/>
    <w:rsid w:val="00F04F0A"/>
    <w:rsid w:val="00F81B4E"/>
    <w:rsid w:val="02360E84"/>
    <w:rsid w:val="02E5332E"/>
    <w:rsid w:val="06A60100"/>
    <w:rsid w:val="07D76E8F"/>
    <w:rsid w:val="0A022284"/>
    <w:rsid w:val="0B534E24"/>
    <w:rsid w:val="13D6630E"/>
    <w:rsid w:val="191026E0"/>
    <w:rsid w:val="19A454A9"/>
    <w:rsid w:val="1A1E7AE9"/>
    <w:rsid w:val="21B55361"/>
    <w:rsid w:val="27F74F11"/>
    <w:rsid w:val="282162F6"/>
    <w:rsid w:val="2E4D0655"/>
    <w:rsid w:val="36FF23D1"/>
    <w:rsid w:val="41A300E9"/>
    <w:rsid w:val="48ED1068"/>
    <w:rsid w:val="49C0754D"/>
    <w:rsid w:val="4C1716AA"/>
    <w:rsid w:val="4DCB010E"/>
    <w:rsid w:val="532F0574"/>
    <w:rsid w:val="53E25A36"/>
    <w:rsid w:val="56BD16F4"/>
    <w:rsid w:val="5B420FD6"/>
    <w:rsid w:val="5E1B03F8"/>
    <w:rsid w:val="60F379DE"/>
    <w:rsid w:val="61116B20"/>
    <w:rsid w:val="649309EA"/>
    <w:rsid w:val="66DD5441"/>
    <w:rsid w:val="6AFD66BA"/>
    <w:rsid w:val="73071653"/>
    <w:rsid w:val="7F1E4293"/>
    <w:rsid w:val="7F5909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1AF0A767"/>
  <w15:docId w15:val="{959509A5-A25B-4C3B-AF1E-879893CA5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uiPriority="39"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widowControl w:val="0"/>
      <w:jc w:val="both"/>
    </w:pPr>
    <w:rPr>
      <w:kern w:val="2"/>
      <w:sz w:val="21"/>
      <w:szCs w:val="22"/>
    </w:rPr>
  </w:style>
  <w:style w:type="paragraph" w:styleId="1">
    <w:name w:val="heading 1"/>
    <w:basedOn w:val="a"/>
    <w:next w:val="a"/>
    <w:qFormat/>
    <w:pPr>
      <w:keepNext/>
      <w:keepLines/>
      <w:spacing w:before="220" w:after="210"/>
      <w:jc w:val="center"/>
      <w:outlineLvl w:val="0"/>
    </w:pPr>
    <w:rPr>
      <w:b/>
      <w:kern w:val="44"/>
      <w:sz w:val="32"/>
      <w:szCs w:val="32"/>
    </w:rPr>
  </w:style>
  <w:style w:type="paragraph" w:styleId="2">
    <w:name w:val="heading 2"/>
    <w:basedOn w:val="a1"/>
    <w:next w:val="a"/>
    <w:qFormat/>
    <w:pPr>
      <w:adjustRightInd w:val="0"/>
      <w:outlineLvl w:val="1"/>
    </w:pPr>
    <w:rPr>
      <w:b/>
      <w:bCs/>
      <w:color w:val="000000"/>
    </w:rPr>
  </w:style>
  <w:style w:type="paragraph" w:styleId="3">
    <w:name w:val="heading 3"/>
    <w:basedOn w:val="a"/>
    <w:next w:val="a"/>
    <w:qFormat/>
    <w:pPr>
      <w:keepNext/>
      <w:keepLines/>
      <w:adjustRightInd w:val="0"/>
      <w:outlineLvl w:val="2"/>
    </w:pPr>
    <w:rPr>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TOC2"/>
    <w:uiPriority w:val="99"/>
    <w:unhideWhenUsed/>
    <w:qFormat/>
    <w:pPr>
      <w:spacing w:after="120"/>
    </w:pPr>
  </w:style>
  <w:style w:type="paragraph" w:styleId="TOC2">
    <w:name w:val="toc 2"/>
    <w:basedOn w:val="a"/>
    <w:next w:val="a"/>
    <w:uiPriority w:val="39"/>
    <w:qFormat/>
    <w:pPr>
      <w:ind w:leftChars="200" w:left="420"/>
    </w:pPr>
  </w:style>
  <w:style w:type="paragraph" w:styleId="a1">
    <w:name w:val="List Paragraph"/>
    <w:basedOn w:val="a"/>
    <w:uiPriority w:val="34"/>
    <w:qFormat/>
    <w:pPr>
      <w:ind w:firstLineChars="200" w:firstLine="420"/>
    </w:p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next w:val="a0"/>
    <w:link w:val="a8"/>
    <w:uiPriority w:val="99"/>
    <w:unhideWhenUsed/>
    <w:qFormat/>
    <w:pPr>
      <w:pBdr>
        <w:bottom w:val="single" w:sz="6" w:space="1" w:color="auto"/>
      </w:pBdr>
      <w:tabs>
        <w:tab w:val="center" w:pos="4153"/>
        <w:tab w:val="right" w:pos="8306"/>
      </w:tabs>
      <w:snapToGrid w:val="0"/>
      <w:jc w:val="center"/>
    </w:pPr>
    <w:rPr>
      <w:sz w:val="18"/>
      <w:szCs w:val="18"/>
    </w:rPr>
  </w:style>
  <w:style w:type="table" w:styleId="a9">
    <w:name w:val="Table Grid"/>
    <w:basedOn w:val="a3"/>
    <w:uiPriority w:val="59"/>
    <w:semiHidden/>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page number"/>
    <w:qFormat/>
    <w:rPr>
      <w:rFonts w:ascii="Times New Roman" w:eastAsia="宋体" w:hAnsi="Times New Roman"/>
      <w:sz w:val="18"/>
    </w:rPr>
  </w:style>
  <w:style w:type="character" w:customStyle="1" w:styleId="a8">
    <w:name w:val="页眉 字符"/>
    <w:basedOn w:val="a2"/>
    <w:link w:val="a7"/>
    <w:uiPriority w:val="99"/>
    <w:qFormat/>
    <w:rPr>
      <w:sz w:val="18"/>
      <w:szCs w:val="18"/>
    </w:rPr>
  </w:style>
  <w:style w:type="character" w:customStyle="1" w:styleId="a6">
    <w:name w:val="页脚 字符"/>
    <w:basedOn w:val="a2"/>
    <w:link w:val="a5"/>
    <w:uiPriority w:val="99"/>
    <w:qFormat/>
    <w:rPr>
      <w:sz w:val="18"/>
      <w:szCs w:val="18"/>
    </w:rPr>
  </w:style>
  <w:style w:type="character" w:customStyle="1" w:styleId="10">
    <w:name w:val="不明显强调1"/>
    <w:uiPriority w:val="19"/>
    <w:qFormat/>
    <w:rPr>
      <w:rFonts w:eastAsia="宋体"/>
      <w:b/>
      <w:iCs/>
      <w:color w:val="404040" w:themeColor="text1" w:themeTint="BF"/>
      <w:sz w:val="24"/>
    </w:rPr>
  </w:style>
  <w:style w:type="paragraph" w:styleId="ab">
    <w:name w:val="No Spacing"/>
    <w:next w:val="a0"/>
    <w:uiPriority w:val="1"/>
    <w:qFormat/>
    <w:pPr>
      <w:widowControl w:val="0"/>
      <w:spacing w:line="360" w:lineRule="auto"/>
      <w:jc w:val="center"/>
    </w:pPr>
    <w:rPr>
      <w:rFonts w:ascii="Times New Roman" w:eastAsia="宋体" w:hAnsi="Times New Roman" w:cs="Times New Roman"/>
      <w:b/>
      <w:kern w:val="2"/>
      <w:sz w:val="21"/>
      <w:szCs w:val="24"/>
    </w:rPr>
  </w:style>
  <w:style w:type="paragraph" w:customStyle="1" w:styleId="ac">
    <w:name w:val="封面正文"/>
    <w:qFormat/>
    <w:pPr>
      <w:jc w:val="both"/>
    </w:pPr>
    <w:rPr>
      <w:rFonts w:ascii="Times New Roman" w:eastAsia="宋体" w:hAnsi="Times New Roman" w:cs="Times New Roman"/>
    </w:rPr>
  </w:style>
  <w:style w:type="paragraph" w:customStyle="1" w:styleId="ad">
    <w:name w:val="标准标志"/>
    <w:next w:val="a"/>
    <w:qFormat/>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character" w:customStyle="1" w:styleId="ae">
    <w:name w:val="发布"/>
    <w:rPr>
      <w:rFonts w:ascii="黑体" w:eastAsia="黑体"/>
      <w:spacing w:val="22"/>
      <w:w w:val="100"/>
      <w:position w:val="3"/>
      <w:sz w:val="28"/>
    </w:rPr>
  </w:style>
  <w:style w:type="paragraph" w:customStyle="1" w:styleId="af">
    <w:name w:val="实施日期"/>
    <w:basedOn w:val="af0"/>
    <w:pPr>
      <w:framePr w:hSpace="0" w:wrap="around" w:xAlign="right"/>
      <w:jc w:val="right"/>
    </w:pPr>
  </w:style>
  <w:style w:type="paragraph" w:customStyle="1" w:styleId="af0">
    <w:name w:val="发布日期"/>
    <w:qFormat/>
    <w:pPr>
      <w:framePr w:w="4000" w:h="473" w:hRule="exact" w:hSpace="180" w:vSpace="180" w:wrap="around" w:hAnchor="margin" w:y="13511" w:anchorLock="1"/>
    </w:pPr>
    <w:rPr>
      <w:rFonts w:ascii="Times New Roman" w:eastAsia="黑体" w:hAnsi="Times New Roman" w:cs="Times New Roman"/>
      <w:sz w:val="28"/>
    </w:rPr>
  </w:style>
  <w:style w:type="paragraph" w:customStyle="1" w:styleId="af1">
    <w:name w:val="封面标准文稿编辑信息"/>
    <w:pPr>
      <w:spacing w:before="180" w:line="180" w:lineRule="exact"/>
      <w:jc w:val="center"/>
    </w:pPr>
    <w:rPr>
      <w:rFonts w:ascii="宋体" w:eastAsia="宋体" w:hAnsi="Times New Roman" w:cs="Times New Roman"/>
      <w:sz w:val="21"/>
    </w:rPr>
  </w:style>
  <w:style w:type="paragraph" w:customStyle="1" w:styleId="af2">
    <w:name w:val="封面标准代替信息"/>
    <w:basedOn w:val="20"/>
    <w:qFormat/>
    <w:pPr>
      <w:framePr w:wrap="auto"/>
      <w:spacing w:before="57"/>
    </w:pPr>
    <w:rPr>
      <w:rFonts w:ascii="宋体"/>
    </w:rPr>
  </w:style>
  <w:style w:type="paragraph" w:customStyle="1" w:styleId="20">
    <w:name w:val="封面标准号2"/>
    <w:basedOn w:val="a"/>
    <w:qFormat/>
    <w:pPr>
      <w:framePr w:w="9138" w:h="1244" w:hRule="exact" w:wrap="auto" w:vAnchor="page" w:hAnchor="margin" w:y="2908" w:anchorLock="1"/>
      <w:kinsoku w:val="0"/>
      <w:overflowPunct w:val="0"/>
      <w:autoSpaceDE w:val="0"/>
      <w:autoSpaceDN w:val="0"/>
      <w:spacing w:before="357" w:line="280" w:lineRule="exact"/>
      <w:jc w:val="right"/>
      <w:textAlignment w:val="center"/>
    </w:pPr>
    <w:rPr>
      <w:kern w:val="0"/>
      <w:szCs w:val="20"/>
    </w:rPr>
  </w:style>
  <w:style w:type="paragraph" w:customStyle="1" w:styleId="af3">
    <w:name w:val="标准称谓"/>
    <w:next w:val="a"/>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f4">
    <w:name w:val="文献分类号"/>
    <w:qFormat/>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5">
    <w:name w:val="标准书眉_奇数页"/>
    <w:next w:val="a"/>
    <w:qFormat/>
    <w:pPr>
      <w:tabs>
        <w:tab w:val="center" w:pos="4154"/>
        <w:tab w:val="right" w:pos="8306"/>
      </w:tabs>
      <w:spacing w:after="120"/>
      <w:jc w:val="right"/>
    </w:pPr>
    <w:rPr>
      <w:rFonts w:ascii="Times New Roman" w:eastAsia="宋体" w:hAnsi="Times New Roman" w:cs="Times New Roman"/>
      <w:sz w:val="21"/>
    </w:rPr>
  </w:style>
  <w:style w:type="paragraph" w:customStyle="1" w:styleId="af6">
    <w:name w:val="标准书眉_偶数页"/>
    <w:basedOn w:val="af5"/>
    <w:next w:val="a"/>
    <w:qFormat/>
    <w:pPr>
      <w:jc w:val="left"/>
    </w:pPr>
  </w:style>
  <w:style w:type="paragraph" w:customStyle="1" w:styleId="af7">
    <w:name w:val="标准书眉一"/>
    <w:qFormat/>
    <w:pPr>
      <w:jc w:val="both"/>
    </w:pPr>
    <w:rPr>
      <w:rFonts w:ascii="Times New Roman" w:eastAsia="宋体" w:hAnsi="Times New Roman" w:cs="Times New Roman"/>
    </w:rPr>
  </w:style>
  <w:style w:type="paragraph" w:customStyle="1" w:styleId="af8">
    <w:name w:val="标准书脚_奇数页"/>
    <w:qFormat/>
    <w:pPr>
      <w:spacing w:before="120"/>
      <w:jc w:val="right"/>
    </w:pPr>
    <w:rPr>
      <w:rFonts w:ascii="Times New Roman" w:eastAsia="宋体" w:hAnsi="Times New Roman" w:cs="Times New Roman"/>
      <w:sz w:val="18"/>
    </w:rPr>
  </w:style>
  <w:style w:type="paragraph" w:customStyle="1" w:styleId="af9">
    <w:name w:val="标准书脚_偶数页"/>
    <w:qFormat/>
    <w:pPr>
      <w:spacing w:before="120"/>
    </w:pPr>
    <w:rPr>
      <w:rFonts w:ascii="Times New Roman" w:eastAsia="宋体" w:hAnsi="Times New Roman"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1.jpeg"/><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82B72A-D86E-4015-8AF8-1A0DF69FF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809</Words>
  <Characters>4613</Characters>
  <Application>Microsoft Office Word</Application>
  <DocSecurity>0</DocSecurity>
  <Lines>38</Lines>
  <Paragraphs>10</Paragraphs>
  <ScaleCrop>false</ScaleCrop>
  <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13022</cp:lastModifiedBy>
  <cp:revision>5</cp:revision>
  <cp:lastPrinted>2023-04-25T07:08:00Z</cp:lastPrinted>
  <dcterms:created xsi:type="dcterms:W3CDTF">2023-08-25T08:22:00Z</dcterms:created>
  <dcterms:modified xsi:type="dcterms:W3CDTF">2024-02-06T06:35:00Z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1950EE893FF04E60A559DE6DF14F62F6</vt:lpwstr>
  </property>
</Properties>
</file>