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2A2A8" w14:textId="77777777" w:rsidR="00F61CBA" w:rsidRDefault="00F61CBA">
      <w:pPr>
        <w:pStyle w:val="af0"/>
        <w:framePr w:w="0" w:hRule="auto" w:wrap="auto" w:vAnchor="margin" w:hAnchor="text" w:xAlign="left" w:yAlign="inline"/>
        <w:spacing w:line="240" w:lineRule="auto"/>
        <w:rPr>
          <w:rFonts w:ascii="Times New Roman"/>
          <w:sz w:val="32"/>
          <w:szCs w:val="32"/>
        </w:rPr>
      </w:pPr>
    </w:p>
    <w:p w14:paraId="5DF6ECDB" w14:textId="77777777" w:rsidR="00F61CBA" w:rsidRDefault="00F61CBA">
      <w:pPr>
        <w:pStyle w:val="af0"/>
        <w:framePr w:w="0" w:hRule="auto" w:wrap="auto" w:vAnchor="margin" w:hAnchor="text" w:xAlign="left" w:yAlign="inline"/>
        <w:spacing w:line="240" w:lineRule="auto"/>
        <w:rPr>
          <w:rFonts w:ascii="Times New Roman"/>
          <w:sz w:val="32"/>
          <w:szCs w:val="32"/>
        </w:rPr>
      </w:pPr>
    </w:p>
    <w:p w14:paraId="64E987FD" w14:textId="77777777" w:rsidR="00F61CBA" w:rsidRDefault="00F61CBA">
      <w:pPr>
        <w:pStyle w:val="af0"/>
        <w:framePr w:w="0" w:hRule="auto" w:wrap="auto" w:vAnchor="margin" w:hAnchor="text" w:xAlign="left" w:yAlign="inline"/>
        <w:spacing w:line="240" w:lineRule="auto"/>
        <w:rPr>
          <w:rFonts w:ascii="Times New Roman"/>
          <w:sz w:val="44"/>
          <w:szCs w:val="44"/>
        </w:rPr>
      </w:pPr>
    </w:p>
    <w:p w14:paraId="6E12ED78" w14:textId="0A84FBE6" w:rsidR="00F61CBA" w:rsidRDefault="00000000">
      <w:pPr>
        <w:pStyle w:val="af0"/>
        <w:framePr w:w="0" w:hRule="auto" w:wrap="auto" w:vAnchor="margin" w:hAnchor="text" w:xAlign="left" w:yAlign="inline"/>
        <w:spacing w:line="240" w:lineRule="auto"/>
        <w:rPr>
          <w:rFonts w:ascii="Times New Roman"/>
          <w:szCs w:val="52"/>
        </w:rPr>
      </w:pPr>
      <w:r>
        <w:rPr>
          <w:rFonts w:ascii="Times New Roman"/>
          <w:szCs w:val="52"/>
        </w:rPr>
        <w:t>《</w:t>
      </w:r>
      <w:r w:rsidR="0097422A" w:rsidRPr="0097422A">
        <w:rPr>
          <w:rFonts w:ascii="Times New Roman" w:hint="eastAsia"/>
          <w:szCs w:val="52"/>
        </w:rPr>
        <w:t>露天煤矿车流密度与车辆运行安全距离规范</w:t>
      </w:r>
      <w:r>
        <w:rPr>
          <w:rFonts w:ascii="Times New Roman"/>
          <w:szCs w:val="52"/>
        </w:rPr>
        <w:t>》</w:t>
      </w:r>
    </w:p>
    <w:p w14:paraId="434238CC" w14:textId="77777777" w:rsidR="00F61CBA" w:rsidRDefault="00F61CBA">
      <w:pPr>
        <w:pStyle w:val="af0"/>
        <w:framePr w:w="0" w:hRule="auto" w:wrap="auto" w:vAnchor="margin" w:hAnchor="text" w:xAlign="left" w:yAlign="inline"/>
        <w:spacing w:line="240" w:lineRule="auto"/>
        <w:rPr>
          <w:rFonts w:ascii="Times New Roman"/>
          <w:sz w:val="48"/>
          <w:szCs w:val="48"/>
        </w:rPr>
      </w:pPr>
    </w:p>
    <w:p w14:paraId="5E89B87C" w14:textId="77777777" w:rsidR="00F61CBA" w:rsidRDefault="00F61CBA">
      <w:pPr>
        <w:pStyle w:val="af0"/>
        <w:framePr w:w="0" w:hRule="auto" w:wrap="auto" w:vAnchor="margin" w:hAnchor="text" w:xAlign="left" w:yAlign="inline"/>
        <w:spacing w:line="240" w:lineRule="auto"/>
        <w:rPr>
          <w:rFonts w:ascii="Times New Roman"/>
          <w:sz w:val="48"/>
          <w:szCs w:val="48"/>
        </w:rPr>
      </w:pPr>
    </w:p>
    <w:p w14:paraId="647746BC" w14:textId="77777777" w:rsidR="00F61CBA" w:rsidRDefault="00000000">
      <w:pPr>
        <w:pStyle w:val="af0"/>
        <w:framePr w:w="0" w:hRule="auto" w:wrap="auto" w:vAnchor="margin" w:hAnchor="text" w:xAlign="left" w:yAlign="inline"/>
        <w:spacing w:line="240" w:lineRule="auto"/>
        <w:rPr>
          <w:rFonts w:ascii="Times New Roman"/>
          <w:b/>
          <w:sz w:val="72"/>
          <w:szCs w:val="72"/>
        </w:rPr>
      </w:pPr>
      <w:r>
        <w:rPr>
          <w:rFonts w:ascii="Times New Roman"/>
          <w:b/>
          <w:sz w:val="72"/>
          <w:szCs w:val="72"/>
        </w:rPr>
        <w:t>编</w:t>
      </w:r>
      <w:r>
        <w:rPr>
          <w:rFonts w:ascii="Times New Roman"/>
          <w:b/>
          <w:sz w:val="72"/>
          <w:szCs w:val="72"/>
        </w:rPr>
        <w:t xml:space="preserve"> </w:t>
      </w:r>
      <w:r>
        <w:rPr>
          <w:rFonts w:ascii="Times New Roman"/>
          <w:b/>
          <w:sz w:val="72"/>
          <w:szCs w:val="72"/>
        </w:rPr>
        <w:t>制</w:t>
      </w:r>
      <w:r>
        <w:rPr>
          <w:rFonts w:ascii="Times New Roman"/>
          <w:b/>
          <w:sz w:val="72"/>
          <w:szCs w:val="72"/>
        </w:rPr>
        <w:t xml:space="preserve"> </w:t>
      </w:r>
      <w:r>
        <w:rPr>
          <w:rFonts w:ascii="Times New Roman"/>
          <w:b/>
          <w:sz w:val="72"/>
          <w:szCs w:val="72"/>
        </w:rPr>
        <w:t>说</w:t>
      </w:r>
      <w:r>
        <w:rPr>
          <w:rFonts w:ascii="Times New Roman"/>
          <w:b/>
          <w:sz w:val="72"/>
          <w:szCs w:val="72"/>
        </w:rPr>
        <w:t xml:space="preserve"> </w:t>
      </w:r>
      <w:r>
        <w:rPr>
          <w:rFonts w:ascii="Times New Roman"/>
          <w:b/>
          <w:sz w:val="72"/>
          <w:szCs w:val="72"/>
        </w:rPr>
        <w:t>明</w:t>
      </w:r>
    </w:p>
    <w:p w14:paraId="4EE18465" w14:textId="77777777" w:rsidR="00F61CBA" w:rsidRDefault="00F61CBA">
      <w:pPr>
        <w:pStyle w:val="af0"/>
        <w:framePr w:w="0" w:hRule="auto" w:wrap="auto" w:vAnchor="margin" w:hAnchor="text" w:xAlign="left" w:yAlign="inline"/>
        <w:spacing w:line="240" w:lineRule="auto"/>
        <w:rPr>
          <w:rFonts w:ascii="Times New Roman"/>
          <w:sz w:val="44"/>
          <w:szCs w:val="44"/>
        </w:rPr>
      </w:pPr>
    </w:p>
    <w:p w14:paraId="3CA0F853" w14:textId="77777777" w:rsidR="00F61CBA" w:rsidRDefault="00F61CBA">
      <w:pPr>
        <w:pStyle w:val="af0"/>
        <w:framePr w:w="0" w:hRule="auto" w:wrap="auto" w:vAnchor="margin" w:hAnchor="text" w:xAlign="left" w:yAlign="inline"/>
        <w:spacing w:line="240" w:lineRule="auto"/>
        <w:rPr>
          <w:rFonts w:ascii="Times New Roman"/>
          <w:sz w:val="44"/>
          <w:szCs w:val="44"/>
        </w:rPr>
      </w:pPr>
    </w:p>
    <w:p w14:paraId="066355A2" w14:textId="77777777" w:rsidR="00F61CBA" w:rsidRDefault="00F61CBA">
      <w:pPr>
        <w:pStyle w:val="af0"/>
        <w:framePr w:w="0" w:hRule="auto" w:wrap="auto" w:vAnchor="margin" w:hAnchor="text" w:xAlign="left" w:yAlign="inline"/>
        <w:spacing w:line="240" w:lineRule="auto"/>
        <w:rPr>
          <w:rFonts w:ascii="Times New Roman"/>
          <w:sz w:val="44"/>
          <w:szCs w:val="44"/>
        </w:rPr>
      </w:pPr>
    </w:p>
    <w:p w14:paraId="2BD8D449" w14:textId="77777777" w:rsidR="00F61CBA" w:rsidRDefault="00F61CBA">
      <w:pPr>
        <w:pStyle w:val="af0"/>
        <w:framePr w:w="0" w:hRule="auto" w:wrap="auto" w:vAnchor="margin" w:hAnchor="text" w:xAlign="left" w:yAlign="inline"/>
        <w:spacing w:line="240" w:lineRule="auto"/>
        <w:jc w:val="both"/>
        <w:rPr>
          <w:rFonts w:ascii="Times New Roman"/>
          <w:sz w:val="36"/>
          <w:szCs w:val="36"/>
        </w:rPr>
      </w:pPr>
    </w:p>
    <w:p w14:paraId="3854C358" w14:textId="77777777" w:rsidR="00F61CBA" w:rsidRDefault="00F61CBA">
      <w:pPr>
        <w:pStyle w:val="af0"/>
        <w:framePr w:w="0" w:hRule="auto" w:wrap="auto" w:vAnchor="margin" w:hAnchor="text" w:xAlign="left" w:yAlign="inline"/>
        <w:spacing w:line="240" w:lineRule="auto"/>
        <w:jc w:val="both"/>
        <w:rPr>
          <w:rFonts w:ascii="Times New Roman"/>
          <w:sz w:val="36"/>
          <w:szCs w:val="36"/>
        </w:rPr>
      </w:pPr>
    </w:p>
    <w:p w14:paraId="26D6E41B" w14:textId="77777777" w:rsidR="00F61CBA" w:rsidRDefault="00F61CBA">
      <w:pPr>
        <w:pStyle w:val="af0"/>
        <w:framePr w:w="0" w:hRule="auto" w:wrap="auto" w:vAnchor="margin" w:hAnchor="text" w:xAlign="left" w:yAlign="inline"/>
        <w:spacing w:line="240" w:lineRule="auto"/>
        <w:jc w:val="both"/>
        <w:rPr>
          <w:rFonts w:ascii="Times New Roman"/>
          <w:sz w:val="36"/>
          <w:szCs w:val="36"/>
        </w:rPr>
      </w:pPr>
    </w:p>
    <w:p w14:paraId="1CF9B12F" w14:textId="77777777" w:rsidR="00F61CBA" w:rsidRDefault="00F61CBA">
      <w:pPr>
        <w:pStyle w:val="af0"/>
        <w:framePr w:w="0" w:hRule="auto" w:wrap="auto" w:vAnchor="margin" w:hAnchor="text" w:xAlign="left" w:yAlign="inline"/>
        <w:spacing w:line="240" w:lineRule="auto"/>
        <w:jc w:val="both"/>
        <w:rPr>
          <w:rFonts w:ascii="Times New Roman"/>
          <w:sz w:val="36"/>
          <w:szCs w:val="36"/>
        </w:rPr>
      </w:pPr>
    </w:p>
    <w:p w14:paraId="320F1597" w14:textId="77777777" w:rsidR="00F61CBA" w:rsidRDefault="00F61CBA">
      <w:pPr>
        <w:pStyle w:val="af0"/>
        <w:framePr w:w="0" w:hRule="auto" w:wrap="auto" w:vAnchor="margin" w:hAnchor="text" w:xAlign="left" w:yAlign="inline"/>
        <w:spacing w:line="240" w:lineRule="auto"/>
        <w:jc w:val="both"/>
        <w:rPr>
          <w:rFonts w:ascii="Times New Roman"/>
          <w:sz w:val="36"/>
          <w:szCs w:val="36"/>
        </w:rPr>
      </w:pPr>
    </w:p>
    <w:p w14:paraId="07BC2092" w14:textId="77777777" w:rsidR="00F61CBA" w:rsidRDefault="00000000">
      <w:pPr>
        <w:pStyle w:val="af0"/>
        <w:framePr w:w="0" w:hRule="auto" w:wrap="auto" w:vAnchor="margin" w:hAnchor="text" w:xAlign="left" w:yAlign="inline"/>
        <w:spacing w:line="240" w:lineRule="auto"/>
        <w:rPr>
          <w:rFonts w:ascii="Times New Roman"/>
          <w:sz w:val="36"/>
          <w:szCs w:val="36"/>
        </w:rPr>
      </w:pPr>
      <w:r>
        <w:rPr>
          <w:rFonts w:ascii="Times New Roman"/>
          <w:sz w:val="36"/>
          <w:szCs w:val="36"/>
        </w:rPr>
        <w:t>202</w:t>
      </w:r>
      <w:r>
        <w:rPr>
          <w:rFonts w:ascii="Times New Roman" w:hint="eastAsia"/>
          <w:sz w:val="36"/>
          <w:szCs w:val="36"/>
        </w:rPr>
        <w:t>3</w:t>
      </w:r>
      <w:r>
        <w:rPr>
          <w:rFonts w:ascii="Times New Roman"/>
          <w:sz w:val="36"/>
          <w:szCs w:val="36"/>
        </w:rPr>
        <w:t>年</w:t>
      </w:r>
      <w:r>
        <w:rPr>
          <w:rFonts w:ascii="Times New Roman"/>
          <w:sz w:val="36"/>
          <w:szCs w:val="36"/>
        </w:rPr>
        <w:t>10</w:t>
      </w:r>
      <w:r>
        <w:rPr>
          <w:rFonts w:ascii="Times New Roman"/>
          <w:sz w:val="36"/>
          <w:szCs w:val="36"/>
        </w:rPr>
        <w:t>月</w:t>
      </w:r>
    </w:p>
    <w:p w14:paraId="573A24EE" w14:textId="77777777" w:rsidR="00F61CBA" w:rsidRDefault="00F61CBA">
      <w:pPr>
        <w:jc w:val="center"/>
        <w:rPr>
          <w:rFonts w:ascii="微软雅黑" w:eastAsia="微软雅黑" w:hAnsi="微软雅黑"/>
          <w:b/>
          <w:sz w:val="27"/>
          <w:szCs w:val="32"/>
        </w:rPr>
      </w:pPr>
    </w:p>
    <w:p w14:paraId="6CA79886" w14:textId="77777777" w:rsidR="00F61CBA" w:rsidRDefault="00000000">
      <w:pPr>
        <w:widowControl/>
        <w:jc w:val="left"/>
        <w:rPr>
          <w:rFonts w:ascii="微软雅黑" w:eastAsia="微软雅黑" w:hAnsi="微软雅黑"/>
          <w:b/>
          <w:sz w:val="27"/>
          <w:szCs w:val="32"/>
        </w:rPr>
      </w:pPr>
      <w:r>
        <w:rPr>
          <w:rFonts w:ascii="微软雅黑" w:eastAsia="微软雅黑" w:hAnsi="微软雅黑"/>
          <w:b/>
          <w:sz w:val="27"/>
          <w:szCs w:val="32"/>
        </w:rPr>
        <w:br w:type="page"/>
      </w:r>
    </w:p>
    <w:p w14:paraId="74933341" w14:textId="77777777" w:rsidR="00F61CBA" w:rsidRDefault="00000000">
      <w:pPr>
        <w:pStyle w:val="af0"/>
        <w:framePr w:w="0" w:hRule="auto" w:wrap="auto" w:vAnchor="margin" w:hAnchor="text" w:xAlign="left" w:yAlign="inline"/>
        <w:spacing w:line="240" w:lineRule="auto"/>
        <w:rPr>
          <w:rFonts w:ascii="Times New Roman"/>
          <w:sz w:val="30"/>
          <w:szCs w:val="30"/>
        </w:rPr>
      </w:pPr>
      <w:r>
        <w:rPr>
          <w:rFonts w:ascii="Times New Roman"/>
          <w:sz w:val="30"/>
          <w:szCs w:val="30"/>
        </w:rPr>
        <w:lastRenderedPageBreak/>
        <w:t>目</w:t>
      </w:r>
      <w:r>
        <w:rPr>
          <w:rFonts w:ascii="Times New Roman"/>
          <w:sz w:val="30"/>
          <w:szCs w:val="30"/>
        </w:rPr>
        <w:t xml:space="preserve">  </w:t>
      </w:r>
      <w:r>
        <w:rPr>
          <w:rFonts w:ascii="Times New Roman" w:hint="eastAsia"/>
          <w:sz w:val="30"/>
          <w:szCs w:val="30"/>
        </w:rPr>
        <w:t>录</w:t>
      </w:r>
    </w:p>
    <w:sdt>
      <w:sdtPr>
        <w:rPr>
          <w:rFonts w:ascii="宋体" w:hAnsi="宋体"/>
        </w:rPr>
        <w:id w:val="147454064"/>
        <w15:color w:val="DBDBDB"/>
        <w:docPartObj>
          <w:docPartGallery w:val="Table of Contents"/>
          <w:docPartUnique/>
        </w:docPartObj>
      </w:sdtPr>
      <w:sdtEndPr>
        <w:rPr>
          <w:rFonts w:asciiTheme="minorHAnsi" w:hAnsiTheme="minorHAnsi"/>
        </w:rPr>
      </w:sdtEndPr>
      <w:sdtContent>
        <w:p w14:paraId="4E223814" w14:textId="77777777" w:rsidR="00F61CBA" w:rsidRDefault="00000000">
          <w:pPr>
            <w:jc w:val="center"/>
          </w:pPr>
          <w:r>
            <w:rPr>
              <w:sz w:val="24"/>
            </w:rPr>
            <w:fldChar w:fldCharType="begin"/>
          </w:r>
          <w:r>
            <w:rPr>
              <w:sz w:val="24"/>
            </w:rPr>
            <w:instrText xml:space="preserve">TOC \o "1-1" \h \u </w:instrText>
          </w:r>
          <w:r>
            <w:rPr>
              <w:sz w:val="24"/>
            </w:rPr>
            <w:fldChar w:fldCharType="separate"/>
          </w:r>
        </w:p>
        <w:p w14:paraId="11CE2DA9" w14:textId="77777777" w:rsidR="00F61CBA" w:rsidRDefault="00000000">
          <w:pPr>
            <w:pStyle w:val="TOC1"/>
            <w:tabs>
              <w:tab w:val="right" w:leader="dot" w:pos="9070"/>
            </w:tabs>
            <w:spacing w:line="480" w:lineRule="auto"/>
            <w:rPr>
              <w:rFonts w:ascii="宋体" w:hAnsi="宋体" w:cs="宋体"/>
              <w:sz w:val="24"/>
            </w:rPr>
          </w:pPr>
          <w:hyperlink w:anchor="_Toc28951" w:history="1">
            <w:r>
              <w:rPr>
                <w:rFonts w:ascii="宋体" w:hAnsi="宋体" w:cs="宋体" w:hint="eastAsia"/>
                <w:bCs/>
                <w:sz w:val="24"/>
              </w:rPr>
              <w:t>一、工作简况</w:t>
            </w:r>
            <w:r>
              <w:rPr>
                <w:rFonts w:ascii="宋体" w:hAnsi="宋体" w:cs="宋体" w:hint="eastAsia"/>
                <w:sz w:val="24"/>
              </w:rPr>
              <w:tab/>
            </w:r>
            <w:r>
              <w:rPr>
                <w:rFonts w:ascii="宋体" w:hAnsi="宋体" w:cs="宋体" w:hint="eastAsia"/>
                <w:sz w:val="24"/>
              </w:rPr>
              <w:fldChar w:fldCharType="begin"/>
            </w:r>
            <w:r>
              <w:rPr>
                <w:rFonts w:ascii="宋体" w:hAnsi="宋体" w:cs="宋体" w:hint="eastAsia"/>
                <w:sz w:val="24"/>
              </w:rPr>
              <w:instrText xml:space="preserve"> PAGEREF _Toc28951 \h </w:instrText>
            </w:r>
            <w:r>
              <w:rPr>
                <w:rFonts w:ascii="宋体" w:hAnsi="宋体" w:cs="宋体" w:hint="eastAsia"/>
                <w:sz w:val="24"/>
              </w:rPr>
            </w:r>
            <w:r>
              <w:rPr>
                <w:rFonts w:ascii="宋体" w:hAnsi="宋体" w:cs="宋体" w:hint="eastAsia"/>
                <w:sz w:val="24"/>
              </w:rPr>
              <w:fldChar w:fldCharType="separate"/>
            </w:r>
            <w:r>
              <w:rPr>
                <w:rFonts w:ascii="宋体" w:hAnsi="宋体" w:cs="宋体" w:hint="eastAsia"/>
                <w:sz w:val="24"/>
              </w:rPr>
              <w:t>1</w:t>
            </w:r>
            <w:r>
              <w:rPr>
                <w:rFonts w:ascii="宋体" w:hAnsi="宋体" w:cs="宋体" w:hint="eastAsia"/>
                <w:sz w:val="24"/>
              </w:rPr>
              <w:fldChar w:fldCharType="end"/>
            </w:r>
          </w:hyperlink>
        </w:p>
        <w:p w14:paraId="2DBA706E" w14:textId="77777777" w:rsidR="00F61CBA" w:rsidRDefault="00000000">
          <w:pPr>
            <w:pStyle w:val="TOC1"/>
            <w:tabs>
              <w:tab w:val="right" w:leader="dot" w:pos="9070"/>
            </w:tabs>
            <w:spacing w:line="480" w:lineRule="auto"/>
            <w:rPr>
              <w:rFonts w:ascii="宋体" w:hAnsi="宋体" w:cs="宋体"/>
              <w:sz w:val="24"/>
            </w:rPr>
          </w:pPr>
          <w:hyperlink w:anchor="_Toc31217" w:history="1">
            <w:r>
              <w:rPr>
                <w:rFonts w:ascii="宋体" w:hAnsi="宋体" w:cs="宋体" w:hint="eastAsia"/>
                <w:bCs/>
                <w:sz w:val="24"/>
              </w:rPr>
              <w:t>二、编制原则和主要内容</w:t>
            </w:r>
            <w:r>
              <w:rPr>
                <w:rFonts w:ascii="宋体" w:hAnsi="宋体" w:cs="宋体" w:hint="eastAsia"/>
                <w:sz w:val="24"/>
              </w:rPr>
              <w:tab/>
            </w:r>
            <w:r>
              <w:rPr>
                <w:rFonts w:ascii="宋体" w:hAnsi="宋体" w:cs="宋体" w:hint="eastAsia"/>
                <w:sz w:val="24"/>
              </w:rPr>
              <w:fldChar w:fldCharType="begin"/>
            </w:r>
            <w:r>
              <w:rPr>
                <w:rFonts w:ascii="宋体" w:hAnsi="宋体" w:cs="宋体" w:hint="eastAsia"/>
                <w:sz w:val="24"/>
              </w:rPr>
              <w:instrText xml:space="preserve"> PAGEREF _Toc31217 \h </w:instrText>
            </w:r>
            <w:r>
              <w:rPr>
                <w:rFonts w:ascii="宋体" w:hAnsi="宋体" w:cs="宋体" w:hint="eastAsia"/>
                <w:sz w:val="24"/>
              </w:rPr>
            </w:r>
            <w:r>
              <w:rPr>
                <w:rFonts w:ascii="宋体" w:hAnsi="宋体" w:cs="宋体" w:hint="eastAsia"/>
                <w:sz w:val="24"/>
              </w:rPr>
              <w:fldChar w:fldCharType="separate"/>
            </w:r>
            <w:r>
              <w:rPr>
                <w:rFonts w:ascii="宋体" w:hAnsi="宋体" w:cs="宋体" w:hint="eastAsia"/>
                <w:sz w:val="24"/>
              </w:rPr>
              <w:t>2</w:t>
            </w:r>
            <w:r>
              <w:rPr>
                <w:rFonts w:ascii="宋体" w:hAnsi="宋体" w:cs="宋体" w:hint="eastAsia"/>
                <w:sz w:val="24"/>
              </w:rPr>
              <w:fldChar w:fldCharType="end"/>
            </w:r>
          </w:hyperlink>
        </w:p>
        <w:p w14:paraId="6478031A" w14:textId="77777777" w:rsidR="00F61CBA" w:rsidRDefault="00000000">
          <w:pPr>
            <w:pStyle w:val="TOC1"/>
            <w:tabs>
              <w:tab w:val="right" w:leader="dot" w:pos="9070"/>
            </w:tabs>
            <w:spacing w:line="480" w:lineRule="auto"/>
            <w:rPr>
              <w:rFonts w:ascii="宋体" w:hAnsi="宋体" w:cs="宋体"/>
              <w:sz w:val="24"/>
            </w:rPr>
          </w:pPr>
          <w:hyperlink w:anchor="_Toc13817" w:history="1">
            <w:r>
              <w:rPr>
                <w:rFonts w:ascii="宋体" w:hAnsi="宋体" w:cs="宋体" w:hint="eastAsia"/>
                <w:bCs/>
                <w:sz w:val="24"/>
              </w:rPr>
              <w:t>三、主要试验验证情况和预期达到的效果</w:t>
            </w:r>
            <w:r>
              <w:rPr>
                <w:rFonts w:ascii="宋体" w:hAnsi="宋体" w:cs="宋体" w:hint="eastAsia"/>
                <w:sz w:val="24"/>
              </w:rPr>
              <w:tab/>
            </w:r>
            <w:r>
              <w:rPr>
                <w:rFonts w:ascii="宋体" w:hAnsi="宋体" w:cs="宋体" w:hint="eastAsia"/>
                <w:sz w:val="24"/>
              </w:rPr>
              <w:fldChar w:fldCharType="begin"/>
            </w:r>
            <w:r>
              <w:rPr>
                <w:rFonts w:ascii="宋体" w:hAnsi="宋体" w:cs="宋体" w:hint="eastAsia"/>
                <w:sz w:val="24"/>
              </w:rPr>
              <w:instrText xml:space="preserve"> PAGEREF _Toc13817 \h </w:instrText>
            </w:r>
            <w:r>
              <w:rPr>
                <w:rFonts w:ascii="宋体" w:hAnsi="宋体" w:cs="宋体" w:hint="eastAsia"/>
                <w:sz w:val="24"/>
              </w:rPr>
            </w:r>
            <w:r>
              <w:rPr>
                <w:rFonts w:ascii="宋体" w:hAnsi="宋体" w:cs="宋体" w:hint="eastAsia"/>
                <w:sz w:val="24"/>
              </w:rPr>
              <w:fldChar w:fldCharType="separate"/>
            </w:r>
            <w:r>
              <w:rPr>
                <w:rFonts w:ascii="宋体" w:hAnsi="宋体" w:cs="宋体" w:hint="eastAsia"/>
                <w:sz w:val="24"/>
              </w:rPr>
              <w:t>4</w:t>
            </w:r>
            <w:r>
              <w:rPr>
                <w:rFonts w:ascii="宋体" w:hAnsi="宋体" w:cs="宋体" w:hint="eastAsia"/>
                <w:sz w:val="24"/>
              </w:rPr>
              <w:fldChar w:fldCharType="end"/>
            </w:r>
          </w:hyperlink>
        </w:p>
        <w:p w14:paraId="6B1BDFCC" w14:textId="77777777" w:rsidR="00F61CBA" w:rsidRDefault="00000000">
          <w:pPr>
            <w:pStyle w:val="TOC1"/>
            <w:tabs>
              <w:tab w:val="right" w:leader="dot" w:pos="9070"/>
            </w:tabs>
            <w:spacing w:line="480" w:lineRule="auto"/>
            <w:rPr>
              <w:rFonts w:ascii="宋体" w:hAnsi="宋体" w:cs="宋体"/>
              <w:sz w:val="24"/>
            </w:rPr>
          </w:pPr>
          <w:hyperlink w:anchor="_Toc14028" w:history="1">
            <w:r>
              <w:rPr>
                <w:rFonts w:ascii="宋体" w:hAnsi="宋体" w:cs="宋体" w:hint="eastAsia"/>
                <w:bCs/>
                <w:sz w:val="24"/>
              </w:rPr>
              <w:t>四、与国际、国外同类标准水平的对比情况</w:t>
            </w:r>
            <w:r>
              <w:rPr>
                <w:rFonts w:ascii="宋体" w:hAnsi="宋体" w:cs="宋体" w:hint="eastAsia"/>
                <w:sz w:val="24"/>
              </w:rPr>
              <w:tab/>
            </w:r>
            <w:r>
              <w:rPr>
                <w:rFonts w:ascii="宋体" w:hAnsi="宋体" w:cs="宋体" w:hint="eastAsia"/>
                <w:sz w:val="24"/>
              </w:rPr>
              <w:fldChar w:fldCharType="begin"/>
            </w:r>
            <w:r>
              <w:rPr>
                <w:rFonts w:ascii="宋体" w:hAnsi="宋体" w:cs="宋体" w:hint="eastAsia"/>
                <w:sz w:val="24"/>
              </w:rPr>
              <w:instrText xml:space="preserve"> PAGEREF _Toc14028 \h </w:instrText>
            </w:r>
            <w:r>
              <w:rPr>
                <w:rFonts w:ascii="宋体" w:hAnsi="宋体" w:cs="宋体" w:hint="eastAsia"/>
                <w:sz w:val="24"/>
              </w:rPr>
            </w:r>
            <w:r>
              <w:rPr>
                <w:rFonts w:ascii="宋体" w:hAnsi="宋体" w:cs="宋体" w:hint="eastAsia"/>
                <w:sz w:val="24"/>
              </w:rPr>
              <w:fldChar w:fldCharType="separate"/>
            </w:r>
            <w:r>
              <w:rPr>
                <w:rFonts w:ascii="宋体" w:hAnsi="宋体" w:cs="宋体" w:hint="eastAsia"/>
                <w:sz w:val="24"/>
              </w:rPr>
              <w:t>4</w:t>
            </w:r>
            <w:r>
              <w:rPr>
                <w:rFonts w:ascii="宋体" w:hAnsi="宋体" w:cs="宋体" w:hint="eastAsia"/>
                <w:sz w:val="24"/>
              </w:rPr>
              <w:fldChar w:fldCharType="end"/>
            </w:r>
          </w:hyperlink>
        </w:p>
        <w:p w14:paraId="27658FC5" w14:textId="77777777" w:rsidR="00F61CBA" w:rsidRDefault="00000000">
          <w:pPr>
            <w:pStyle w:val="TOC1"/>
            <w:tabs>
              <w:tab w:val="right" w:leader="dot" w:pos="9070"/>
            </w:tabs>
            <w:spacing w:line="480" w:lineRule="auto"/>
            <w:rPr>
              <w:rFonts w:ascii="宋体" w:hAnsi="宋体" w:cs="宋体"/>
              <w:sz w:val="24"/>
            </w:rPr>
          </w:pPr>
          <w:hyperlink w:anchor="_Toc11132" w:history="1">
            <w:r>
              <w:rPr>
                <w:rFonts w:ascii="宋体" w:hAnsi="宋体" w:cs="宋体" w:hint="eastAsia"/>
                <w:bCs/>
                <w:sz w:val="24"/>
              </w:rPr>
              <w:t>五、 采用国际标准和国外先进标准情况</w:t>
            </w:r>
            <w:r>
              <w:rPr>
                <w:rFonts w:ascii="宋体" w:hAnsi="宋体" w:cs="宋体" w:hint="eastAsia"/>
                <w:sz w:val="24"/>
              </w:rPr>
              <w:tab/>
            </w:r>
            <w:r>
              <w:rPr>
                <w:rFonts w:ascii="宋体" w:hAnsi="宋体" w:cs="宋体" w:hint="eastAsia"/>
                <w:sz w:val="24"/>
              </w:rPr>
              <w:fldChar w:fldCharType="begin"/>
            </w:r>
            <w:r>
              <w:rPr>
                <w:rFonts w:ascii="宋体" w:hAnsi="宋体" w:cs="宋体" w:hint="eastAsia"/>
                <w:sz w:val="24"/>
              </w:rPr>
              <w:instrText xml:space="preserve"> PAGEREF _Toc11132 \h </w:instrText>
            </w:r>
            <w:r>
              <w:rPr>
                <w:rFonts w:ascii="宋体" w:hAnsi="宋体" w:cs="宋体" w:hint="eastAsia"/>
                <w:sz w:val="24"/>
              </w:rPr>
            </w:r>
            <w:r>
              <w:rPr>
                <w:rFonts w:ascii="宋体" w:hAnsi="宋体" w:cs="宋体" w:hint="eastAsia"/>
                <w:sz w:val="24"/>
              </w:rPr>
              <w:fldChar w:fldCharType="separate"/>
            </w:r>
            <w:r>
              <w:rPr>
                <w:rFonts w:ascii="宋体" w:hAnsi="宋体" w:cs="宋体" w:hint="eastAsia"/>
                <w:sz w:val="24"/>
              </w:rPr>
              <w:t>4</w:t>
            </w:r>
            <w:r>
              <w:rPr>
                <w:rFonts w:ascii="宋体" w:hAnsi="宋体" w:cs="宋体" w:hint="eastAsia"/>
                <w:sz w:val="24"/>
              </w:rPr>
              <w:fldChar w:fldCharType="end"/>
            </w:r>
          </w:hyperlink>
        </w:p>
        <w:p w14:paraId="7E493960" w14:textId="77777777" w:rsidR="00F61CBA" w:rsidRDefault="00000000">
          <w:pPr>
            <w:pStyle w:val="TOC1"/>
            <w:tabs>
              <w:tab w:val="right" w:leader="dot" w:pos="9070"/>
            </w:tabs>
            <w:spacing w:line="480" w:lineRule="auto"/>
            <w:rPr>
              <w:rFonts w:ascii="宋体" w:hAnsi="宋体" w:cs="宋体"/>
              <w:sz w:val="24"/>
            </w:rPr>
          </w:pPr>
          <w:hyperlink w:anchor="_Toc26143" w:history="1">
            <w:r>
              <w:rPr>
                <w:rFonts w:ascii="宋体" w:hAnsi="宋体" w:cs="宋体" w:hint="eastAsia"/>
                <w:bCs/>
                <w:sz w:val="24"/>
              </w:rPr>
              <w:t>六、 与现行法律、法规、政策及相关标准的协调性</w:t>
            </w:r>
            <w:r>
              <w:rPr>
                <w:rFonts w:ascii="宋体" w:hAnsi="宋体" w:cs="宋体" w:hint="eastAsia"/>
                <w:sz w:val="24"/>
              </w:rPr>
              <w:tab/>
            </w:r>
            <w:r>
              <w:rPr>
                <w:rFonts w:ascii="宋体" w:hAnsi="宋体" w:cs="宋体" w:hint="eastAsia"/>
                <w:sz w:val="24"/>
              </w:rPr>
              <w:fldChar w:fldCharType="begin"/>
            </w:r>
            <w:r>
              <w:rPr>
                <w:rFonts w:ascii="宋体" w:hAnsi="宋体" w:cs="宋体" w:hint="eastAsia"/>
                <w:sz w:val="24"/>
              </w:rPr>
              <w:instrText xml:space="preserve"> PAGEREF _Toc26143 \h </w:instrText>
            </w:r>
            <w:r>
              <w:rPr>
                <w:rFonts w:ascii="宋体" w:hAnsi="宋体" w:cs="宋体" w:hint="eastAsia"/>
                <w:sz w:val="24"/>
              </w:rPr>
            </w:r>
            <w:r>
              <w:rPr>
                <w:rFonts w:ascii="宋体" w:hAnsi="宋体" w:cs="宋体" w:hint="eastAsia"/>
                <w:sz w:val="24"/>
              </w:rPr>
              <w:fldChar w:fldCharType="separate"/>
            </w:r>
            <w:r>
              <w:rPr>
                <w:rFonts w:ascii="宋体" w:hAnsi="宋体" w:cs="宋体" w:hint="eastAsia"/>
                <w:sz w:val="24"/>
              </w:rPr>
              <w:t>4</w:t>
            </w:r>
            <w:r>
              <w:rPr>
                <w:rFonts w:ascii="宋体" w:hAnsi="宋体" w:cs="宋体" w:hint="eastAsia"/>
                <w:sz w:val="24"/>
              </w:rPr>
              <w:fldChar w:fldCharType="end"/>
            </w:r>
          </w:hyperlink>
        </w:p>
        <w:p w14:paraId="5A2B1CA6" w14:textId="77777777" w:rsidR="00F61CBA" w:rsidRDefault="00000000">
          <w:pPr>
            <w:pStyle w:val="TOC1"/>
            <w:tabs>
              <w:tab w:val="right" w:leader="dot" w:pos="9070"/>
            </w:tabs>
            <w:spacing w:line="480" w:lineRule="auto"/>
            <w:rPr>
              <w:rFonts w:ascii="宋体" w:hAnsi="宋体" w:cs="宋体"/>
              <w:sz w:val="24"/>
            </w:rPr>
          </w:pPr>
          <w:hyperlink w:anchor="_Toc12687" w:history="1">
            <w:r>
              <w:rPr>
                <w:rFonts w:ascii="宋体" w:hAnsi="宋体" w:cs="宋体" w:hint="eastAsia"/>
                <w:bCs/>
                <w:sz w:val="24"/>
              </w:rPr>
              <w:t>七、 重大分歧意见的处理经过和依据</w:t>
            </w:r>
            <w:r>
              <w:rPr>
                <w:rFonts w:ascii="宋体" w:hAnsi="宋体" w:cs="宋体" w:hint="eastAsia"/>
                <w:sz w:val="24"/>
              </w:rPr>
              <w:tab/>
            </w:r>
            <w:r>
              <w:rPr>
                <w:rFonts w:ascii="宋体" w:hAnsi="宋体" w:cs="宋体" w:hint="eastAsia"/>
                <w:sz w:val="24"/>
              </w:rPr>
              <w:fldChar w:fldCharType="begin"/>
            </w:r>
            <w:r>
              <w:rPr>
                <w:rFonts w:ascii="宋体" w:hAnsi="宋体" w:cs="宋体" w:hint="eastAsia"/>
                <w:sz w:val="24"/>
              </w:rPr>
              <w:instrText xml:space="preserve"> PAGEREF _Toc12687 \h </w:instrText>
            </w:r>
            <w:r>
              <w:rPr>
                <w:rFonts w:ascii="宋体" w:hAnsi="宋体" w:cs="宋体" w:hint="eastAsia"/>
                <w:sz w:val="24"/>
              </w:rPr>
            </w:r>
            <w:r>
              <w:rPr>
                <w:rFonts w:ascii="宋体" w:hAnsi="宋体" w:cs="宋体" w:hint="eastAsia"/>
                <w:sz w:val="24"/>
              </w:rPr>
              <w:fldChar w:fldCharType="separate"/>
            </w:r>
            <w:r>
              <w:rPr>
                <w:rFonts w:ascii="宋体" w:hAnsi="宋体" w:cs="宋体" w:hint="eastAsia"/>
                <w:sz w:val="24"/>
              </w:rPr>
              <w:t>4</w:t>
            </w:r>
            <w:r>
              <w:rPr>
                <w:rFonts w:ascii="宋体" w:hAnsi="宋体" w:cs="宋体" w:hint="eastAsia"/>
                <w:sz w:val="24"/>
              </w:rPr>
              <w:fldChar w:fldCharType="end"/>
            </w:r>
          </w:hyperlink>
        </w:p>
        <w:p w14:paraId="42F6E10C" w14:textId="77777777" w:rsidR="00F61CBA" w:rsidRDefault="00000000">
          <w:pPr>
            <w:pStyle w:val="TOC1"/>
            <w:tabs>
              <w:tab w:val="right" w:leader="dot" w:pos="9070"/>
            </w:tabs>
            <w:spacing w:line="480" w:lineRule="auto"/>
            <w:rPr>
              <w:rFonts w:ascii="宋体" w:hAnsi="宋体" w:cs="宋体"/>
              <w:sz w:val="24"/>
            </w:rPr>
          </w:pPr>
          <w:hyperlink w:anchor="_Toc19687" w:history="1">
            <w:r>
              <w:rPr>
                <w:rFonts w:ascii="宋体" w:hAnsi="宋体" w:cs="宋体" w:hint="eastAsia"/>
                <w:bCs/>
                <w:sz w:val="24"/>
              </w:rPr>
              <w:t>八、 涉及专利的有关说明</w:t>
            </w:r>
            <w:r>
              <w:rPr>
                <w:rFonts w:ascii="宋体" w:hAnsi="宋体" w:cs="宋体" w:hint="eastAsia"/>
                <w:sz w:val="24"/>
              </w:rPr>
              <w:tab/>
            </w:r>
            <w:r>
              <w:rPr>
                <w:rFonts w:ascii="宋体" w:hAnsi="宋体" w:cs="宋体" w:hint="eastAsia"/>
                <w:sz w:val="24"/>
              </w:rPr>
              <w:fldChar w:fldCharType="begin"/>
            </w:r>
            <w:r>
              <w:rPr>
                <w:rFonts w:ascii="宋体" w:hAnsi="宋体" w:cs="宋体" w:hint="eastAsia"/>
                <w:sz w:val="24"/>
              </w:rPr>
              <w:instrText xml:space="preserve"> PAGEREF _Toc19687 \h </w:instrText>
            </w:r>
            <w:r>
              <w:rPr>
                <w:rFonts w:ascii="宋体" w:hAnsi="宋体" w:cs="宋体" w:hint="eastAsia"/>
                <w:sz w:val="24"/>
              </w:rPr>
            </w:r>
            <w:r>
              <w:rPr>
                <w:rFonts w:ascii="宋体" w:hAnsi="宋体" w:cs="宋体" w:hint="eastAsia"/>
                <w:sz w:val="24"/>
              </w:rPr>
              <w:fldChar w:fldCharType="separate"/>
            </w:r>
            <w:r>
              <w:rPr>
                <w:rFonts w:ascii="宋体" w:hAnsi="宋体" w:cs="宋体" w:hint="eastAsia"/>
                <w:sz w:val="24"/>
              </w:rPr>
              <w:t>5</w:t>
            </w:r>
            <w:r>
              <w:rPr>
                <w:rFonts w:ascii="宋体" w:hAnsi="宋体" w:cs="宋体" w:hint="eastAsia"/>
                <w:sz w:val="24"/>
              </w:rPr>
              <w:fldChar w:fldCharType="end"/>
            </w:r>
          </w:hyperlink>
        </w:p>
        <w:p w14:paraId="142473E9" w14:textId="77777777" w:rsidR="00F61CBA" w:rsidRDefault="00000000">
          <w:pPr>
            <w:pStyle w:val="TOC1"/>
            <w:tabs>
              <w:tab w:val="right" w:leader="dot" w:pos="9070"/>
            </w:tabs>
            <w:spacing w:line="480" w:lineRule="auto"/>
            <w:rPr>
              <w:rFonts w:ascii="宋体" w:hAnsi="宋体" w:cs="宋体"/>
              <w:sz w:val="24"/>
            </w:rPr>
          </w:pPr>
          <w:hyperlink w:anchor="_Toc29401" w:history="1">
            <w:r>
              <w:rPr>
                <w:rFonts w:ascii="宋体" w:hAnsi="宋体" w:cs="宋体" w:hint="eastAsia"/>
                <w:bCs/>
                <w:sz w:val="24"/>
              </w:rPr>
              <w:t>九、 实施标准的要求和措施建议</w:t>
            </w:r>
            <w:r>
              <w:rPr>
                <w:rFonts w:ascii="宋体" w:hAnsi="宋体" w:cs="宋体" w:hint="eastAsia"/>
                <w:sz w:val="24"/>
              </w:rPr>
              <w:tab/>
            </w:r>
            <w:r>
              <w:rPr>
                <w:rFonts w:ascii="宋体" w:hAnsi="宋体" w:cs="宋体" w:hint="eastAsia"/>
                <w:sz w:val="24"/>
              </w:rPr>
              <w:fldChar w:fldCharType="begin"/>
            </w:r>
            <w:r>
              <w:rPr>
                <w:rFonts w:ascii="宋体" w:hAnsi="宋体" w:cs="宋体" w:hint="eastAsia"/>
                <w:sz w:val="24"/>
              </w:rPr>
              <w:instrText xml:space="preserve"> PAGEREF _Toc29401 \h </w:instrText>
            </w:r>
            <w:r>
              <w:rPr>
                <w:rFonts w:ascii="宋体" w:hAnsi="宋体" w:cs="宋体" w:hint="eastAsia"/>
                <w:sz w:val="24"/>
              </w:rPr>
            </w:r>
            <w:r>
              <w:rPr>
                <w:rFonts w:ascii="宋体" w:hAnsi="宋体" w:cs="宋体" w:hint="eastAsia"/>
                <w:sz w:val="24"/>
              </w:rPr>
              <w:fldChar w:fldCharType="separate"/>
            </w:r>
            <w:r>
              <w:rPr>
                <w:rFonts w:ascii="宋体" w:hAnsi="宋体" w:cs="宋体" w:hint="eastAsia"/>
                <w:sz w:val="24"/>
              </w:rPr>
              <w:t>5</w:t>
            </w:r>
            <w:r>
              <w:rPr>
                <w:rFonts w:ascii="宋体" w:hAnsi="宋体" w:cs="宋体" w:hint="eastAsia"/>
                <w:sz w:val="24"/>
              </w:rPr>
              <w:fldChar w:fldCharType="end"/>
            </w:r>
          </w:hyperlink>
        </w:p>
        <w:p w14:paraId="557F705C" w14:textId="77777777" w:rsidR="00F61CBA" w:rsidRDefault="00000000">
          <w:pPr>
            <w:pStyle w:val="TOC1"/>
            <w:tabs>
              <w:tab w:val="right" w:leader="dot" w:pos="9070"/>
            </w:tabs>
            <w:spacing w:line="480" w:lineRule="auto"/>
            <w:rPr>
              <w:rFonts w:ascii="宋体" w:hAnsi="宋体" w:cs="宋体"/>
              <w:sz w:val="24"/>
            </w:rPr>
          </w:pPr>
          <w:hyperlink w:anchor="_Toc1605" w:history="1">
            <w:r>
              <w:rPr>
                <w:rFonts w:ascii="宋体" w:hAnsi="宋体" w:cs="宋体" w:hint="eastAsia"/>
                <w:bCs/>
                <w:sz w:val="24"/>
              </w:rPr>
              <w:t>十、 重要内容的解释和其它应予说明的事项</w:t>
            </w:r>
            <w:r>
              <w:rPr>
                <w:rFonts w:ascii="宋体" w:hAnsi="宋体" w:cs="宋体" w:hint="eastAsia"/>
                <w:sz w:val="24"/>
              </w:rPr>
              <w:tab/>
            </w:r>
            <w:r>
              <w:rPr>
                <w:rFonts w:ascii="宋体" w:hAnsi="宋体" w:cs="宋体" w:hint="eastAsia"/>
                <w:sz w:val="24"/>
              </w:rPr>
              <w:fldChar w:fldCharType="begin"/>
            </w:r>
            <w:r>
              <w:rPr>
                <w:rFonts w:ascii="宋体" w:hAnsi="宋体" w:cs="宋体" w:hint="eastAsia"/>
                <w:sz w:val="24"/>
              </w:rPr>
              <w:instrText xml:space="preserve"> PAGEREF _Toc1605 \h </w:instrText>
            </w:r>
            <w:r>
              <w:rPr>
                <w:rFonts w:ascii="宋体" w:hAnsi="宋体" w:cs="宋体" w:hint="eastAsia"/>
                <w:sz w:val="24"/>
              </w:rPr>
            </w:r>
            <w:r>
              <w:rPr>
                <w:rFonts w:ascii="宋体" w:hAnsi="宋体" w:cs="宋体" w:hint="eastAsia"/>
                <w:sz w:val="24"/>
              </w:rPr>
              <w:fldChar w:fldCharType="separate"/>
            </w:r>
            <w:r>
              <w:rPr>
                <w:rFonts w:ascii="宋体" w:hAnsi="宋体" w:cs="宋体" w:hint="eastAsia"/>
                <w:sz w:val="24"/>
              </w:rPr>
              <w:t>5</w:t>
            </w:r>
            <w:r>
              <w:rPr>
                <w:rFonts w:ascii="宋体" w:hAnsi="宋体" w:cs="宋体" w:hint="eastAsia"/>
                <w:sz w:val="24"/>
              </w:rPr>
              <w:fldChar w:fldCharType="end"/>
            </w:r>
          </w:hyperlink>
        </w:p>
        <w:p w14:paraId="1506548A" w14:textId="77777777" w:rsidR="00F61CBA" w:rsidRDefault="00000000">
          <w:pPr>
            <w:spacing w:line="360" w:lineRule="auto"/>
            <w:jc w:val="left"/>
            <w:rPr>
              <w:sz w:val="24"/>
            </w:rPr>
          </w:pPr>
          <w:r>
            <w:fldChar w:fldCharType="end"/>
          </w:r>
        </w:p>
      </w:sdtContent>
    </w:sdt>
    <w:p w14:paraId="2EE5E0D1" w14:textId="77777777" w:rsidR="00F61CBA" w:rsidRDefault="00F61CBA">
      <w:pPr>
        <w:widowControl/>
        <w:jc w:val="left"/>
        <w:rPr>
          <w:rFonts w:ascii="微软雅黑" w:eastAsia="微软雅黑" w:hAnsi="微软雅黑"/>
          <w:b/>
          <w:sz w:val="27"/>
          <w:szCs w:val="32"/>
        </w:rPr>
      </w:pPr>
    </w:p>
    <w:p w14:paraId="43EE6B9F" w14:textId="77777777" w:rsidR="00F61CBA" w:rsidRDefault="00F61CBA">
      <w:pPr>
        <w:widowControl/>
        <w:jc w:val="left"/>
        <w:rPr>
          <w:rFonts w:ascii="微软雅黑" w:eastAsia="微软雅黑" w:hAnsi="微软雅黑"/>
          <w:b/>
          <w:sz w:val="27"/>
          <w:szCs w:val="32"/>
        </w:rPr>
      </w:pPr>
    </w:p>
    <w:p w14:paraId="2CA3875B" w14:textId="77777777" w:rsidR="00F61CBA" w:rsidRDefault="00000000">
      <w:pPr>
        <w:widowControl/>
        <w:jc w:val="left"/>
        <w:rPr>
          <w:rFonts w:ascii="微软雅黑" w:eastAsia="微软雅黑" w:hAnsi="微软雅黑"/>
          <w:b/>
          <w:sz w:val="27"/>
          <w:szCs w:val="32"/>
        </w:rPr>
      </w:pPr>
      <w:r>
        <w:rPr>
          <w:rFonts w:ascii="微软雅黑" w:eastAsia="微软雅黑" w:hAnsi="微软雅黑"/>
          <w:b/>
          <w:sz w:val="27"/>
          <w:szCs w:val="32"/>
        </w:rPr>
        <w:br w:type="page"/>
      </w:r>
    </w:p>
    <w:p w14:paraId="188C8AAC" w14:textId="77777777" w:rsidR="00F61CBA" w:rsidRDefault="00F61CBA">
      <w:pPr>
        <w:widowControl/>
        <w:jc w:val="left"/>
        <w:rPr>
          <w:rFonts w:ascii="微软雅黑" w:eastAsia="微软雅黑" w:hAnsi="微软雅黑"/>
          <w:b/>
          <w:sz w:val="27"/>
          <w:szCs w:val="32"/>
        </w:rPr>
      </w:pPr>
    </w:p>
    <w:p w14:paraId="62B0AF71" w14:textId="77777777" w:rsidR="00F61CBA" w:rsidRDefault="00000000">
      <w:pPr>
        <w:jc w:val="center"/>
        <w:rPr>
          <w:rFonts w:ascii="微软雅黑" w:eastAsia="微软雅黑" w:hAnsi="微软雅黑"/>
          <w:b/>
          <w:sz w:val="27"/>
          <w:szCs w:val="32"/>
        </w:rPr>
      </w:pPr>
      <w:r>
        <w:rPr>
          <w:rFonts w:ascii="微软雅黑" w:eastAsia="微软雅黑" w:hAnsi="微软雅黑" w:hint="eastAsia"/>
          <w:b/>
          <w:sz w:val="27"/>
          <w:szCs w:val="32"/>
        </w:rPr>
        <w:t>标准编制说明</w:t>
      </w:r>
    </w:p>
    <w:p w14:paraId="2F475C6A" w14:textId="77777777" w:rsidR="00F61CBA" w:rsidRDefault="00000000">
      <w:pPr>
        <w:spacing w:line="360" w:lineRule="auto"/>
        <w:jc w:val="left"/>
        <w:outlineLvl w:val="0"/>
        <w:rPr>
          <w:rFonts w:ascii="微软雅黑" w:eastAsia="微软雅黑" w:hAnsi="微软雅黑" w:cs="宋体"/>
          <w:b/>
          <w:sz w:val="28"/>
          <w:szCs w:val="28"/>
        </w:rPr>
      </w:pPr>
      <w:r>
        <w:rPr>
          <w:rFonts w:ascii="微软雅黑" w:eastAsia="微软雅黑" w:hAnsi="微软雅黑" w:cs="宋体" w:hint="eastAsia"/>
          <w:b/>
          <w:sz w:val="28"/>
          <w:szCs w:val="28"/>
        </w:rPr>
        <w:t>一、工作简况</w:t>
      </w:r>
    </w:p>
    <w:p w14:paraId="5FB12A98" w14:textId="77777777" w:rsidR="00F61CBA" w:rsidRDefault="00000000">
      <w:pPr>
        <w:spacing w:line="360" w:lineRule="auto"/>
        <w:ind w:firstLineChars="200" w:firstLine="540"/>
        <w:rPr>
          <w:rFonts w:ascii="Times New Roman" w:eastAsia="宋体" w:hAnsi="Times New Roman" w:cs="Times New Roman"/>
          <w:sz w:val="27"/>
        </w:rPr>
      </w:pPr>
      <w:r>
        <w:rPr>
          <w:rFonts w:ascii="Times New Roman" w:eastAsia="宋体" w:hAnsi="Times New Roman" w:cs="Times New Roman"/>
          <w:sz w:val="27"/>
        </w:rPr>
        <w:t xml:space="preserve">1 </w:t>
      </w:r>
      <w:r>
        <w:rPr>
          <w:rFonts w:ascii="Times New Roman" w:eastAsia="宋体" w:hAnsi="Times New Roman" w:cs="Times New Roman"/>
          <w:sz w:val="27"/>
        </w:rPr>
        <w:t>任务来源</w:t>
      </w:r>
    </w:p>
    <w:p w14:paraId="2ABBEC20" w14:textId="77777777" w:rsidR="00F61CBA" w:rsidRDefault="00000000">
      <w:pPr>
        <w:spacing w:line="360" w:lineRule="auto"/>
        <w:ind w:firstLineChars="200" w:firstLine="480"/>
        <w:rPr>
          <w:rFonts w:ascii="宋体" w:eastAsia="宋体" w:hAnsi="宋体"/>
          <w:sz w:val="24"/>
          <w:szCs w:val="24"/>
        </w:rPr>
      </w:pPr>
      <w:r>
        <w:rPr>
          <w:rFonts w:ascii="宋体" w:eastAsia="宋体" w:hAnsi="宋体" w:hint="eastAsia"/>
          <w:sz w:val="24"/>
          <w:szCs w:val="24"/>
        </w:rPr>
        <w:t>露天煤矿车流密度与车辆安全距离是确保露天煤矿安全与高效生产，是实现露天煤矿智慧矿山和安全矿山的重要技术组成部分。为进一步规范露天煤矿车辆安全行驶，全面体现安全第一、预防为主、综合治理的思想，实现对矿区车流的数量、车距和行车密度的超前预控，以预防矿区交通事故的发生造成巨大的人员和设备损失，特制定本标准。</w:t>
      </w:r>
    </w:p>
    <w:p w14:paraId="065E587A" w14:textId="77777777" w:rsidR="00F61CBA" w:rsidRDefault="00000000">
      <w:pPr>
        <w:spacing w:line="360" w:lineRule="auto"/>
        <w:ind w:firstLineChars="200" w:firstLine="540"/>
        <w:rPr>
          <w:rFonts w:ascii="Times New Roman" w:eastAsia="宋体" w:hAnsi="Times New Roman" w:cs="Times New Roman"/>
          <w:sz w:val="27"/>
        </w:rPr>
      </w:pPr>
      <w:r>
        <w:rPr>
          <w:rFonts w:ascii="Times New Roman" w:eastAsia="宋体" w:hAnsi="Times New Roman" w:cs="Times New Roman" w:hint="eastAsia"/>
          <w:sz w:val="27"/>
        </w:rPr>
        <w:t>2</w:t>
      </w:r>
      <w:r>
        <w:rPr>
          <w:rFonts w:ascii="Times New Roman" w:eastAsia="宋体" w:hAnsi="Times New Roman" w:cs="Times New Roman"/>
          <w:sz w:val="27"/>
        </w:rPr>
        <w:t xml:space="preserve"> </w:t>
      </w:r>
      <w:r>
        <w:rPr>
          <w:rFonts w:ascii="Times New Roman" w:eastAsia="宋体" w:hAnsi="Times New Roman" w:cs="Times New Roman" w:hint="eastAsia"/>
          <w:sz w:val="27"/>
        </w:rPr>
        <w:t>主要工作过程</w:t>
      </w:r>
    </w:p>
    <w:p w14:paraId="6C74F36B" w14:textId="77777777" w:rsidR="00F61CBA"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1</w:t>
      </w:r>
      <w:r>
        <w:rPr>
          <w:rFonts w:ascii="Times New Roman" w:eastAsia="宋体" w:hAnsi="Times New Roman" w:cs="Times New Roman"/>
          <w:sz w:val="24"/>
          <w:szCs w:val="24"/>
        </w:rPr>
        <w:t>）归纳总结露天煤矿中间断式工艺和半连续工艺作业中，运输车流密度设计、车辆的安全距离设计和现场要求。</w:t>
      </w:r>
    </w:p>
    <w:p w14:paraId="5DAB4B6D" w14:textId="77777777" w:rsidR="00F61CBA"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2</w:t>
      </w:r>
      <w:r>
        <w:rPr>
          <w:rFonts w:ascii="Times New Roman" w:eastAsia="宋体" w:hAnsi="Times New Roman" w:cs="Times New Roman"/>
          <w:sz w:val="24"/>
          <w:szCs w:val="24"/>
        </w:rPr>
        <w:t>）根据露天煤矿现场运输管理情况，规定露天煤矿铲和车选型标准、车辆最高速度、车辆平均速度、车流密度计算方法、车辆的安全距离，包括同向车辆安全距离和车辆超车时安全距离。</w:t>
      </w:r>
    </w:p>
    <w:p w14:paraId="0F7982AC" w14:textId="77777777" w:rsidR="00F61CBA"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3</w:t>
      </w:r>
      <w:r>
        <w:rPr>
          <w:rFonts w:ascii="Times New Roman" w:eastAsia="宋体" w:hAnsi="Times New Roman" w:cs="Times New Roman"/>
          <w:sz w:val="24"/>
          <w:szCs w:val="24"/>
        </w:rPr>
        <w:t>）行业交流，修订车流密度与车辆安全距离规范标准。</w:t>
      </w:r>
    </w:p>
    <w:p w14:paraId="4396AD71" w14:textId="77777777" w:rsidR="00F61CBA" w:rsidRDefault="00000000">
      <w:pPr>
        <w:spacing w:line="360" w:lineRule="auto"/>
        <w:jc w:val="left"/>
        <w:outlineLvl w:val="0"/>
        <w:rPr>
          <w:rFonts w:ascii="微软雅黑" w:eastAsia="微软雅黑" w:hAnsi="微软雅黑" w:cs="宋体"/>
          <w:b/>
          <w:sz w:val="28"/>
          <w:szCs w:val="28"/>
        </w:rPr>
      </w:pPr>
      <w:r>
        <w:rPr>
          <w:rFonts w:ascii="微软雅黑" w:eastAsia="微软雅黑" w:hAnsi="微软雅黑" w:cs="宋体" w:hint="eastAsia"/>
          <w:b/>
          <w:sz w:val="28"/>
          <w:szCs w:val="28"/>
        </w:rPr>
        <w:t>二、标准编制原则和主要内容</w:t>
      </w:r>
    </w:p>
    <w:p w14:paraId="0688A14B" w14:textId="77777777" w:rsidR="00F61CBA" w:rsidRDefault="00000000">
      <w:pPr>
        <w:spacing w:line="360" w:lineRule="auto"/>
        <w:ind w:firstLineChars="200" w:firstLine="540"/>
        <w:rPr>
          <w:rFonts w:ascii="Times New Roman" w:eastAsia="宋体" w:hAnsi="Times New Roman" w:cs="Times New Roman"/>
          <w:sz w:val="27"/>
        </w:rPr>
      </w:pPr>
      <w:r>
        <w:rPr>
          <w:rFonts w:ascii="Times New Roman" w:eastAsia="宋体" w:hAnsi="Times New Roman" w:cs="Times New Roman" w:hint="eastAsia"/>
          <w:sz w:val="27"/>
        </w:rPr>
        <w:t xml:space="preserve">1 </w:t>
      </w:r>
      <w:r>
        <w:rPr>
          <w:rFonts w:ascii="Times New Roman" w:eastAsia="宋体" w:hAnsi="Times New Roman" w:cs="Times New Roman" w:hint="eastAsia"/>
          <w:sz w:val="27"/>
        </w:rPr>
        <w:t>编制原则</w:t>
      </w:r>
    </w:p>
    <w:p w14:paraId="42A07A89" w14:textId="77777777" w:rsidR="00F61CBA"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1</w:t>
      </w:r>
      <w:r>
        <w:rPr>
          <w:rFonts w:ascii="Times New Roman" w:eastAsia="宋体" w:hAnsi="Times New Roman" w:cs="Times New Roman"/>
          <w:sz w:val="24"/>
          <w:szCs w:val="24"/>
        </w:rPr>
        <w:t>）</w:t>
      </w:r>
      <w:r>
        <w:rPr>
          <w:rFonts w:ascii="Times New Roman" w:eastAsia="宋体" w:hAnsi="Times New Roman" w:cs="Times New Roman" w:hint="eastAsia"/>
          <w:sz w:val="24"/>
          <w:szCs w:val="24"/>
        </w:rPr>
        <w:t>适用性强</w:t>
      </w:r>
    </w:p>
    <w:p w14:paraId="2189ADC4" w14:textId="77777777" w:rsidR="00F61CBA"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适用于在露天煤矿中间断式工艺和半连续工艺作业中，运输车流密度设计、车辆的安全距离设计和现场要求；标准同样适用于无人驾驶。</w:t>
      </w:r>
    </w:p>
    <w:p w14:paraId="39DC036F" w14:textId="77777777" w:rsidR="00F61CBA"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2</w:t>
      </w:r>
      <w:r>
        <w:rPr>
          <w:rFonts w:ascii="Times New Roman" w:eastAsia="宋体" w:hAnsi="Times New Roman" w:cs="Times New Roman"/>
          <w:sz w:val="24"/>
          <w:szCs w:val="24"/>
        </w:rPr>
        <w:t>）</w:t>
      </w:r>
      <w:r>
        <w:rPr>
          <w:rFonts w:ascii="Times New Roman" w:eastAsia="宋体" w:hAnsi="Times New Roman" w:cs="Times New Roman" w:hint="eastAsia"/>
          <w:sz w:val="24"/>
          <w:szCs w:val="24"/>
        </w:rPr>
        <w:t>安全无事故</w:t>
      </w:r>
    </w:p>
    <w:p w14:paraId="487C7AE3" w14:textId="77777777" w:rsidR="00F61CBA"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进一步规范露天煤矿车辆安全行驶，全面体现安全第一、预防为主、综合治理的思想，实现对矿区车流的数量、车距和行车密度的超前预控，以预防矿区交通事故的发生造成巨大的人员和设备损失。</w:t>
      </w:r>
    </w:p>
    <w:p w14:paraId="6A832DD4" w14:textId="77777777" w:rsidR="00F61CBA" w:rsidRDefault="00000000">
      <w:pPr>
        <w:spacing w:line="360" w:lineRule="auto"/>
        <w:ind w:firstLineChars="200" w:firstLine="540"/>
        <w:rPr>
          <w:rFonts w:ascii="Times New Roman" w:eastAsia="宋体" w:hAnsi="Times New Roman" w:cs="Times New Roman"/>
          <w:sz w:val="27"/>
        </w:rPr>
      </w:pPr>
      <w:r>
        <w:rPr>
          <w:rFonts w:ascii="Times New Roman" w:eastAsia="宋体" w:hAnsi="Times New Roman" w:cs="Times New Roman" w:hint="eastAsia"/>
          <w:sz w:val="27"/>
        </w:rPr>
        <w:t xml:space="preserve">2 </w:t>
      </w:r>
      <w:r>
        <w:rPr>
          <w:rFonts w:ascii="Times New Roman" w:eastAsia="宋体" w:hAnsi="Times New Roman" w:cs="Times New Roman" w:hint="eastAsia"/>
          <w:sz w:val="27"/>
        </w:rPr>
        <w:t>标准主要内容</w:t>
      </w:r>
    </w:p>
    <w:p w14:paraId="45821647" w14:textId="77777777" w:rsidR="00F61CBA"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本标准中首次对车流密度与车辆安全距离的相关术语和定义、车辆型号及通</w:t>
      </w:r>
      <w:r>
        <w:rPr>
          <w:rFonts w:ascii="Times New Roman" w:eastAsia="宋体" w:hAnsi="Times New Roman" w:cs="Times New Roman" w:hint="eastAsia"/>
          <w:sz w:val="24"/>
          <w:szCs w:val="24"/>
        </w:rPr>
        <w:lastRenderedPageBreak/>
        <w:t>行规定、车流密度与安全距离设计、现场管理要求等内容进行规范。在车辆型号及通行规定中工作包括露天煤矿铲和车选型标准、车辆最高速度、车辆平均速度、车流密度计算方法等；在车流密度与安全距离设计中工作同向车辆安全距离、车辆超车时安全距离及道路形式车辆数量设计等。所建立标准除应符合本规范的规定外，尚应符合国家现行有关法律、法规、条例、规程、标准和规范的规定。</w:t>
      </w:r>
    </w:p>
    <w:p w14:paraId="2A9D69BA" w14:textId="77777777" w:rsidR="00F61CBA" w:rsidRDefault="00000000">
      <w:pPr>
        <w:spacing w:line="360" w:lineRule="auto"/>
        <w:jc w:val="left"/>
        <w:outlineLvl w:val="0"/>
        <w:rPr>
          <w:rFonts w:ascii="微软雅黑" w:eastAsia="微软雅黑" w:hAnsi="微软雅黑" w:cs="宋体"/>
          <w:b/>
          <w:sz w:val="28"/>
          <w:szCs w:val="28"/>
        </w:rPr>
      </w:pPr>
      <w:r>
        <w:rPr>
          <w:rFonts w:ascii="微软雅黑" w:eastAsia="微软雅黑" w:hAnsi="微软雅黑" w:cs="宋体" w:hint="eastAsia"/>
          <w:b/>
          <w:sz w:val="28"/>
          <w:szCs w:val="28"/>
        </w:rPr>
        <w:t>三、主要试验（或验证）情况和预期达到的效果</w:t>
      </w:r>
    </w:p>
    <w:p w14:paraId="73EDC66E" w14:textId="77777777" w:rsidR="00F61CBA"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本标准不涉及试验。</w:t>
      </w:r>
    </w:p>
    <w:p w14:paraId="03E25D34" w14:textId="77777777" w:rsidR="00F61CBA" w:rsidRDefault="00000000">
      <w:pPr>
        <w:spacing w:line="360" w:lineRule="auto"/>
        <w:jc w:val="left"/>
        <w:outlineLvl w:val="0"/>
        <w:rPr>
          <w:rFonts w:ascii="微软雅黑" w:eastAsia="微软雅黑" w:hAnsi="微软雅黑" w:cs="宋体"/>
          <w:b/>
          <w:sz w:val="28"/>
          <w:szCs w:val="28"/>
        </w:rPr>
      </w:pPr>
      <w:r>
        <w:rPr>
          <w:rFonts w:ascii="微软雅黑" w:eastAsia="微软雅黑" w:hAnsi="微软雅黑" w:cs="宋体" w:hint="eastAsia"/>
          <w:b/>
          <w:sz w:val="28"/>
          <w:szCs w:val="28"/>
        </w:rPr>
        <w:t>四、与国际、国外同类标准水平的对比情况</w:t>
      </w:r>
    </w:p>
    <w:p w14:paraId="1E1E5575" w14:textId="77777777" w:rsidR="00F61CBA"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不同国家现行的有关法律、法规内容不同，无法具体比较；</w:t>
      </w:r>
    </w:p>
    <w:p w14:paraId="0CC11A83" w14:textId="77777777" w:rsidR="00F61CBA"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目前国内没有相关露天矿山车流密度与车辆安全距离的现行标准，本标准的总体技术水平属于国内领先水平。</w:t>
      </w:r>
    </w:p>
    <w:p w14:paraId="6722BF1F" w14:textId="77777777" w:rsidR="00F61CBA" w:rsidRDefault="00000000">
      <w:pPr>
        <w:spacing w:line="360" w:lineRule="auto"/>
        <w:jc w:val="left"/>
        <w:outlineLvl w:val="0"/>
        <w:rPr>
          <w:rFonts w:ascii="微软雅黑" w:eastAsia="微软雅黑" w:hAnsi="微软雅黑" w:cs="宋体"/>
          <w:b/>
          <w:sz w:val="28"/>
          <w:szCs w:val="28"/>
        </w:rPr>
      </w:pPr>
      <w:bookmarkStart w:id="0" w:name="_Toc11132"/>
      <w:r>
        <w:rPr>
          <w:rFonts w:ascii="微软雅黑" w:eastAsia="微软雅黑" w:hAnsi="微软雅黑" w:cs="宋体" w:hint="eastAsia"/>
          <w:b/>
          <w:sz w:val="28"/>
          <w:szCs w:val="28"/>
        </w:rPr>
        <w:t>五、</w:t>
      </w:r>
      <w:r>
        <w:rPr>
          <w:rFonts w:ascii="微软雅黑" w:eastAsia="微软雅黑" w:hAnsi="微软雅黑" w:cs="宋体"/>
          <w:b/>
          <w:sz w:val="28"/>
          <w:szCs w:val="28"/>
        </w:rPr>
        <w:t>采用国际标准和国外先进标准情况</w:t>
      </w:r>
      <w:bookmarkEnd w:id="0"/>
    </w:p>
    <w:p w14:paraId="3B0AF68F" w14:textId="77777777" w:rsidR="00F61CBA"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本标准没有采用国际标准。</w:t>
      </w:r>
    </w:p>
    <w:p w14:paraId="2EA18DD0" w14:textId="77777777" w:rsidR="00F61CBA"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本标准在制定过程中未査到同类国际标准。</w:t>
      </w:r>
    </w:p>
    <w:p w14:paraId="06CA3171" w14:textId="77777777" w:rsidR="00F61CBA" w:rsidRDefault="00000000">
      <w:pPr>
        <w:spacing w:line="360" w:lineRule="auto"/>
        <w:jc w:val="left"/>
        <w:outlineLvl w:val="0"/>
        <w:rPr>
          <w:rFonts w:ascii="微软雅黑" w:eastAsia="微软雅黑" w:hAnsi="微软雅黑" w:cs="宋体"/>
          <w:b/>
          <w:sz w:val="28"/>
          <w:szCs w:val="28"/>
        </w:rPr>
      </w:pPr>
      <w:bookmarkStart w:id="1" w:name="_Toc26143"/>
      <w:r>
        <w:rPr>
          <w:rFonts w:ascii="微软雅黑" w:eastAsia="微软雅黑" w:hAnsi="微软雅黑" w:cs="宋体" w:hint="eastAsia"/>
          <w:b/>
          <w:sz w:val="28"/>
          <w:szCs w:val="28"/>
        </w:rPr>
        <w:t>六、</w:t>
      </w:r>
      <w:r>
        <w:rPr>
          <w:rFonts w:ascii="微软雅黑" w:eastAsia="微软雅黑" w:hAnsi="微软雅黑" w:cs="宋体"/>
          <w:b/>
          <w:sz w:val="28"/>
          <w:szCs w:val="28"/>
        </w:rPr>
        <w:t>与现行法律、法规、政策及相关标准的协调性</w:t>
      </w:r>
      <w:bookmarkEnd w:id="1"/>
    </w:p>
    <w:p w14:paraId="15D77D77" w14:textId="77777777" w:rsidR="00F61CBA"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本标准与现行相关法律、法规、规章及相关标准协调一致，没有冲突。参考</w:t>
      </w:r>
      <w:r>
        <w:rPr>
          <w:rFonts w:ascii="Times New Roman" w:eastAsia="宋体" w:hAnsi="Times New Roman" w:cs="Times New Roman"/>
          <w:sz w:val="24"/>
          <w:szCs w:val="24"/>
        </w:rPr>
        <w:t xml:space="preserve">GB50197 </w:t>
      </w:r>
      <w:r>
        <w:rPr>
          <w:rFonts w:ascii="Times New Roman" w:eastAsia="宋体" w:hAnsi="Times New Roman" w:cs="Times New Roman"/>
          <w:sz w:val="24"/>
          <w:szCs w:val="24"/>
        </w:rPr>
        <w:t>《</w:t>
      </w:r>
      <w:r>
        <w:rPr>
          <w:rFonts w:ascii="Times New Roman" w:eastAsia="宋体" w:hAnsi="Times New Roman" w:cs="Times New Roman" w:hint="eastAsia"/>
          <w:sz w:val="24"/>
          <w:szCs w:val="24"/>
        </w:rPr>
        <w:t>煤炭工业露天煤矿设计规范》、</w:t>
      </w:r>
      <w:r>
        <w:rPr>
          <w:rFonts w:ascii="Times New Roman" w:eastAsia="宋体" w:hAnsi="Times New Roman" w:cs="Times New Roman"/>
          <w:sz w:val="24"/>
          <w:szCs w:val="24"/>
        </w:rPr>
        <w:t>GB-512</w:t>
      </w:r>
      <w:r>
        <w:rPr>
          <w:rFonts w:ascii="Times New Roman" w:eastAsia="宋体" w:hAnsi="Times New Roman" w:cs="Times New Roman"/>
          <w:sz w:val="24"/>
          <w:szCs w:val="24"/>
        </w:rPr>
        <w:t>《</w:t>
      </w:r>
      <w:r>
        <w:rPr>
          <w:rFonts w:ascii="Times New Roman" w:eastAsia="宋体" w:hAnsi="Times New Roman" w:cs="Times New Roman" w:hint="eastAsia"/>
          <w:sz w:val="24"/>
          <w:szCs w:val="24"/>
        </w:rPr>
        <w:t>煤炭工业露天矿矿山运输工程设计标准》、</w:t>
      </w:r>
      <w:r>
        <w:rPr>
          <w:rFonts w:ascii="Times New Roman" w:eastAsia="宋体" w:hAnsi="Times New Roman" w:cs="Times New Roman"/>
          <w:sz w:val="24"/>
          <w:szCs w:val="24"/>
        </w:rPr>
        <w:t>GBJ 22</w:t>
      </w:r>
      <w:r>
        <w:rPr>
          <w:rFonts w:ascii="Times New Roman" w:eastAsia="宋体" w:hAnsi="Times New Roman" w:cs="Times New Roman"/>
          <w:sz w:val="24"/>
          <w:szCs w:val="24"/>
        </w:rPr>
        <w:t>《</w:t>
      </w:r>
      <w:r>
        <w:rPr>
          <w:rFonts w:ascii="Times New Roman" w:eastAsia="宋体" w:hAnsi="Times New Roman" w:cs="Times New Roman" w:hint="eastAsia"/>
          <w:sz w:val="24"/>
          <w:szCs w:val="24"/>
        </w:rPr>
        <w:t>厂矿道路设计规范》等文件，收集国内相关学者汇总露天煤矿车流密度与车辆安全距离的计算方法及相应安全举措及控制办法，为适应露天煤矿安全管理要求，保障作业安全，特此制定适用于在露天煤矿中间断式工艺和半连续工艺作业中，车流密度与车辆安全距离的规范标准。</w:t>
      </w:r>
    </w:p>
    <w:p w14:paraId="06F507AA" w14:textId="77777777" w:rsidR="00F61CBA" w:rsidRDefault="00000000">
      <w:pPr>
        <w:spacing w:line="360" w:lineRule="auto"/>
        <w:jc w:val="left"/>
        <w:outlineLvl w:val="0"/>
        <w:rPr>
          <w:rFonts w:ascii="微软雅黑" w:eastAsia="微软雅黑" w:hAnsi="微软雅黑" w:cs="宋体"/>
          <w:b/>
          <w:sz w:val="28"/>
          <w:szCs w:val="28"/>
        </w:rPr>
      </w:pPr>
      <w:bookmarkStart w:id="2" w:name="_Toc12687"/>
      <w:r>
        <w:rPr>
          <w:rFonts w:ascii="微软雅黑" w:eastAsia="微软雅黑" w:hAnsi="微软雅黑" w:cs="宋体" w:hint="eastAsia"/>
          <w:b/>
          <w:sz w:val="28"/>
          <w:szCs w:val="28"/>
        </w:rPr>
        <w:t>七、</w:t>
      </w:r>
      <w:r>
        <w:rPr>
          <w:rFonts w:ascii="微软雅黑" w:eastAsia="微软雅黑" w:hAnsi="微软雅黑" w:cs="宋体"/>
          <w:b/>
          <w:sz w:val="28"/>
          <w:szCs w:val="28"/>
        </w:rPr>
        <w:t>重大分歧意见的处理经过和依据</w:t>
      </w:r>
      <w:bookmarkEnd w:id="2"/>
    </w:p>
    <w:p w14:paraId="0133B88A" w14:textId="77777777" w:rsidR="00F61CBA"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本标准在起草过程中聘请了行业专家进行了多次研讨，未出现重大分歧意见。</w:t>
      </w:r>
    </w:p>
    <w:p w14:paraId="383B26F4" w14:textId="77777777" w:rsidR="00F61CBA" w:rsidRDefault="00000000">
      <w:pPr>
        <w:spacing w:line="360" w:lineRule="auto"/>
        <w:jc w:val="left"/>
        <w:outlineLvl w:val="0"/>
        <w:rPr>
          <w:rFonts w:ascii="微软雅黑" w:eastAsia="微软雅黑" w:hAnsi="微软雅黑" w:cs="宋体"/>
          <w:b/>
          <w:sz w:val="28"/>
          <w:szCs w:val="28"/>
        </w:rPr>
      </w:pPr>
      <w:bookmarkStart w:id="3" w:name="_Toc19687"/>
      <w:r>
        <w:rPr>
          <w:rFonts w:ascii="微软雅黑" w:eastAsia="微软雅黑" w:hAnsi="微软雅黑" w:cs="宋体" w:hint="eastAsia"/>
          <w:b/>
          <w:sz w:val="28"/>
          <w:szCs w:val="28"/>
        </w:rPr>
        <w:t>八、涉及专利的有关说明</w:t>
      </w:r>
      <w:bookmarkEnd w:id="3"/>
    </w:p>
    <w:p w14:paraId="5052278C" w14:textId="77777777" w:rsidR="00F61CBA"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本文件编制过程中未识别出涉及专利。</w:t>
      </w:r>
    </w:p>
    <w:p w14:paraId="7AC4010B" w14:textId="77777777" w:rsidR="00F61CBA" w:rsidRDefault="00000000">
      <w:pPr>
        <w:spacing w:line="360" w:lineRule="auto"/>
        <w:jc w:val="left"/>
        <w:outlineLvl w:val="0"/>
        <w:rPr>
          <w:rFonts w:ascii="微软雅黑" w:eastAsia="微软雅黑" w:hAnsi="微软雅黑" w:cs="宋体"/>
          <w:b/>
          <w:sz w:val="28"/>
          <w:szCs w:val="28"/>
        </w:rPr>
      </w:pPr>
      <w:bookmarkStart w:id="4" w:name="_Toc29401"/>
      <w:r>
        <w:rPr>
          <w:rFonts w:ascii="微软雅黑" w:eastAsia="微软雅黑" w:hAnsi="微软雅黑" w:cs="宋体" w:hint="eastAsia"/>
          <w:b/>
          <w:sz w:val="28"/>
          <w:szCs w:val="28"/>
        </w:rPr>
        <w:t>九、实施标准的要求和措施建议</w:t>
      </w:r>
      <w:bookmarkEnd w:id="4"/>
    </w:p>
    <w:p w14:paraId="4C69055F" w14:textId="77777777" w:rsidR="00F61CBA"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本标准由</w:t>
      </w:r>
      <w:r>
        <w:rPr>
          <w:rFonts w:ascii="Times New Roman" w:eastAsia="宋体" w:hAnsi="Times New Roman" w:cs="Times New Roman" w:hint="eastAsia"/>
          <w:sz w:val="24"/>
          <w:szCs w:val="24"/>
        </w:rPr>
        <w:t>中国煤炭学会</w:t>
      </w:r>
      <w:r>
        <w:rPr>
          <w:rFonts w:ascii="Times New Roman" w:eastAsia="宋体" w:hAnsi="Times New Roman" w:cs="Times New Roman"/>
          <w:sz w:val="24"/>
          <w:szCs w:val="24"/>
        </w:rPr>
        <w:t>归口，建议由国家矿山安全监察局发布。发布后应及</w:t>
      </w:r>
      <w:r>
        <w:rPr>
          <w:rFonts w:ascii="Times New Roman" w:eastAsia="宋体" w:hAnsi="Times New Roman" w:cs="Times New Roman"/>
          <w:sz w:val="24"/>
          <w:szCs w:val="24"/>
        </w:rPr>
        <w:lastRenderedPageBreak/>
        <w:t>时通知各相关应用单位、机构、企业和煤矿安全监察部门贯彻学习，必要时集中组织相关应用人员学习。标准工作小组会及时收集应用人员在应用过程中的意见反馈，必要时对标准进行修订，增强标准的适用性和科学性。</w:t>
      </w:r>
    </w:p>
    <w:p w14:paraId="73FFE972" w14:textId="77777777" w:rsidR="00F61CBA" w:rsidRDefault="00000000">
      <w:pPr>
        <w:spacing w:line="360" w:lineRule="auto"/>
        <w:jc w:val="left"/>
        <w:outlineLvl w:val="0"/>
        <w:rPr>
          <w:rFonts w:ascii="微软雅黑" w:eastAsia="微软雅黑" w:hAnsi="微软雅黑" w:cs="宋体"/>
          <w:b/>
          <w:sz w:val="28"/>
          <w:szCs w:val="28"/>
        </w:rPr>
      </w:pPr>
      <w:bookmarkStart w:id="5" w:name="_Toc1605"/>
      <w:r>
        <w:rPr>
          <w:rFonts w:ascii="微软雅黑" w:eastAsia="微软雅黑" w:hAnsi="微软雅黑" w:cs="宋体" w:hint="eastAsia"/>
          <w:b/>
          <w:sz w:val="28"/>
          <w:szCs w:val="28"/>
        </w:rPr>
        <w:t>十、重要内容的解释和其它应予说明的事项</w:t>
      </w:r>
      <w:bookmarkEnd w:id="5"/>
    </w:p>
    <w:p w14:paraId="3BABB5BF" w14:textId="77777777" w:rsidR="00F61CBA"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无。</w:t>
      </w:r>
    </w:p>
    <w:p w14:paraId="456839A0" w14:textId="77777777" w:rsidR="00F61CBA" w:rsidRDefault="00F61CBA">
      <w:pPr>
        <w:spacing w:line="360" w:lineRule="auto"/>
        <w:ind w:firstLineChars="200" w:firstLine="480"/>
        <w:rPr>
          <w:rFonts w:ascii="Times New Roman" w:eastAsia="宋体" w:hAnsi="Times New Roman" w:cs="Times New Roman"/>
          <w:sz w:val="24"/>
          <w:szCs w:val="24"/>
        </w:rPr>
      </w:pPr>
    </w:p>
    <w:sectPr w:rsidR="00F61CB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Times New Roman”“">
    <w:altName w:val="宋体"/>
    <w:charset w:val="86"/>
    <w:family w:val="roma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483351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lhOTAxMTc1MDQ3NTA3Zjk3NWUzYmQyZWIxYjdjMTEifQ=="/>
  </w:docVars>
  <w:rsids>
    <w:rsidRoot w:val="005A21F0"/>
    <w:rsid w:val="00126683"/>
    <w:rsid w:val="00202475"/>
    <w:rsid w:val="00581675"/>
    <w:rsid w:val="005A21F0"/>
    <w:rsid w:val="00633E5C"/>
    <w:rsid w:val="0076446D"/>
    <w:rsid w:val="0097422A"/>
    <w:rsid w:val="00D87A85"/>
    <w:rsid w:val="00D92615"/>
    <w:rsid w:val="00E7331F"/>
    <w:rsid w:val="00EB39FA"/>
    <w:rsid w:val="00F61CBA"/>
    <w:rsid w:val="00FB4F43"/>
    <w:rsid w:val="374B3B1D"/>
    <w:rsid w:val="3B4E54B5"/>
    <w:rsid w:val="4F8F66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F2D1D"/>
  <w15:docId w15:val="{E4B5DC45-DB06-470B-909B-6A4EDC079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pPr>
      <w:widowControl w:val="0"/>
      <w:jc w:val="both"/>
    </w:pPr>
    <w:rPr>
      <w:kern w:val="2"/>
      <w:sz w:val="21"/>
      <w:szCs w:val="22"/>
    </w:rPr>
  </w:style>
  <w:style w:type="paragraph" w:styleId="1">
    <w:name w:val="heading 1"/>
    <w:basedOn w:val="a5"/>
    <w:next w:val="a5"/>
    <w:link w:val="10"/>
    <w:uiPriority w:val="9"/>
    <w:qFormat/>
    <w:pPr>
      <w:keepNext/>
      <w:keepLines/>
      <w:spacing w:before="340" w:after="330" w:line="578" w:lineRule="auto"/>
      <w:outlineLvl w:val="0"/>
    </w:pPr>
    <w:rPr>
      <w:b/>
      <w:bCs/>
      <w:kern w:val="44"/>
      <w:sz w:val="44"/>
      <w:szCs w:val="44"/>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footer"/>
    <w:basedOn w:val="a5"/>
    <w:link w:val="aa"/>
    <w:uiPriority w:val="99"/>
    <w:unhideWhenUsed/>
    <w:qFormat/>
    <w:pPr>
      <w:tabs>
        <w:tab w:val="center" w:pos="4153"/>
        <w:tab w:val="right" w:pos="8306"/>
      </w:tabs>
      <w:snapToGrid w:val="0"/>
      <w:jc w:val="left"/>
    </w:pPr>
    <w:rPr>
      <w:sz w:val="18"/>
      <w:szCs w:val="18"/>
    </w:rPr>
  </w:style>
  <w:style w:type="paragraph" w:styleId="ab">
    <w:name w:val="header"/>
    <w:basedOn w:val="a5"/>
    <w:link w:val="ac"/>
    <w:uiPriority w:val="99"/>
    <w:unhideWhenUsed/>
    <w:qFormat/>
    <w:pPr>
      <w:tabs>
        <w:tab w:val="center" w:pos="4153"/>
        <w:tab w:val="right" w:pos="8306"/>
      </w:tabs>
      <w:snapToGrid w:val="0"/>
      <w:jc w:val="center"/>
    </w:pPr>
    <w:rPr>
      <w:sz w:val="18"/>
      <w:szCs w:val="18"/>
    </w:rPr>
  </w:style>
  <w:style w:type="paragraph" w:styleId="TOC1">
    <w:name w:val="toc 1"/>
    <w:basedOn w:val="a5"/>
    <w:next w:val="a5"/>
    <w:uiPriority w:val="39"/>
    <w:unhideWhenUsed/>
    <w:qFormat/>
    <w:rPr>
      <w:rFonts w:ascii="Times New Roman" w:eastAsia="宋体" w:hAnsi="Times New Roman" w:cs="Times New Roman"/>
      <w:szCs w:val="24"/>
    </w:rPr>
  </w:style>
  <w:style w:type="character" w:styleId="ad">
    <w:name w:val="Hyperlink"/>
    <w:basedOn w:val="a6"/>
    <w:uiPriority w:val="99"/>
    <w:unhideWhenUsed/>
    <w:qFormat/>
    <w:rPr>
      <w:color w:val="0563C1" w:themeColor="hyperlink"/>
      <w:u w:val="single"/>
    </w:rPr>
  </w:style>
  <w:style w:type="character" w:customStyle="1" w:styleId="ac">
    <w:name w:val="页眉 字符"/>
    <w:basedOn w:val="a6"/>
    <w:link w:val="ab"/>
    <w:uiPriority w:val="99"/>
    <w:qFormat/>
    <w:rPr>
      <w:sz w:val="18"/>
      <w:szCs w:val="18"/>
    </w:rPr>
  </w:style>
  <w:style w:type="character" w:customStyle="1" w:styleId="aa">
    <w:name w:val="页脚 字符"/>
    <w:basedOn w:val="a6"/>
    <w:link w:val="a9"/>
    <w:uiPriority w:val="99"/>
    <w:qFormat/>
    <w:rPr>
      <w:sz w:val="18"/>
      <w:szCs w:val="18"/>
    </w:rPr>
  </w:style>
  <w:style w:type="paragraph" w:customStyle="1" w:styleId="Char">
    <w:name w:val="Char"/>
    <w:basedOn w:val="a5"/>
    <w:qFormat/>
    <w:pPr>
      <w:widowControl/>
      <w:spacing w:after="160" w:line="240" w:lineRule="exact"/>
      <w:jc w:val="left"/>
    </w:pPr>
    <w:rPr>
      <w:rFonts w:ascii="Verdana" w:eastAsia="仿宋_GB2312" w:hAnsi="Verdana" w:cs="”“Times New Roman”“"/>
      <w:color w:val="161616"/>
      <w:kern w:val="0"/>
      <w:sz w:val="24"/>
      <w:szCs w:val="20"/>
      <w:lang w:eastAsia="en-US"/>
    </w:rPr>
  </w:style>
  <w:style w:type="paragraph" w:customStyle="1" w:styleId="a0">
    <w:name w:val="一级条标题"/>
    <w:next w:val="a5"/>
    <w:qFormat/>
    <w:pPr>
      <w:numPr>
        <w:ilvl w:val="1"/>
        <w:numId w:val="1"/>
      </w:numPr>
      <w:spacing w:beforeLines="50" w:before="156" w:afterLines="50" w:after="156"/>
      <w:outlineLvl w:val="2"/>
    </w:pPr>
    <w:rPr>
      <w:rFonts w:ascii="黑体" w:eastAsia="黑体" w:hAnsi="Times New Roman" w:cs="Times New Roman"/>
      <w:sz w:val="21"/>
      <w:szCs w:val="21"/>
    </w:rPr>
  </w:style>
  <w:style w:type="paragraph" w:customStyle="1" w:styleId="a">
    <w:name w:val="章标题"/>
    <w:next w:val="a5"/>
    <w:qFormat/>
    <w:pPr>
      <w:numPr>
        <w:numId w:val="1"/>
      </w:numPr>
      <w:spacing w:beforeLines="100" w:before="312" w:afterLines="100" w:after="312"/>
      <w:jc w:val="both"/>
      <w:outlineLvl w:val="1"/>
    </w:pPr>
    <w:rPr>
      <w:rFonts w:ascii="黑体" w:eastAsia="黑体" w:hAnsi="Times New Roman" w:cs="Times New Roman"/>
      <w:sz w:val="21"/>
    </w:rPr>
  </w:style>
  <w:style w:type="paragraph" w:customStyle="1" w:styleId="a1">
    <w:name w:val="二级条标题"/>
    <w:basedOn w:val="a0"/>
    <w:next w:val="a5"/>
    <w:qFormat/>
    <w:pPr>
      <w:numPr>
        <w:ilvl w:val="2"/>
      </w:numPr>
      <w:spacing w:before="50" w:after="50"/>
      <w:outlineLvl w:val="3"/>
    </w:pPr>
  </w:style>
  <w:style w:type="paragraph" w:customStyle="1" w:styleId="a2">
    <w:name w:val="三级条标题"/>
    <w:basedOn w:val="a1"/>
    <w:next w:val="a5"/>
    <w:qFormat/>
    <w:pPr>
      <w:numPr>
        <w:ilvl w:val="3"/>
      </w:numPr>
      <w:outlineLvl w:val="4"/>
    </w:pPr>
  </w:style>
  <w:style w:type="paragraph" w:customStyle="1" w:styleId="a3">
    <w:name w:val="四级条标题"/>
    <w:basedOn w:val="a2"/>
    <w:next w:val="a5"/>
    <w:qFormat/>
    <w:pPr>
      <w:numPr>
        <w:ilvl w:val="4"/>
      </w:numPr>
      <w:outlineLvl w:val="5"/>
    </w:pPr>
  </w:style>
  <w:style w:type="paragraph" w:customStyle="1" w:styleId="a4">
    <w:name w:val="五级条标题"/>
    <w:basedOn w:val="a3"/>
    <w:next w:val="a5"/>
    <w:qFormat/>
    <w:pPr>
      <w:numPr>
        <w:ilvl w:val="5"/>
      </w:numPr>
      <w:outlineLvl w:val="6"/>
    </w:pPr>
  </w:style>
  <w:style w:type="paragraph" w:customStyle="1" w:styleId="ae">
    <w:name w:val="一级无"/>
    <w:basedOn w:val="a0"/>
    <w:qFormat/>
    <w:pPr>
      <w:spacing w:beforeLines="0" w:before="0" w:afterLines="0" w:after="0"/>
    </w:pPr>
    <w:rPr>
      <w:rFonts w:ascii="宋体" w:eastAsia="宋体"/>
    </w:rPr>
  </w:style>
  <w:style w:type="paragraph" w:customStyle="1" w:styleId="af">
    <w:name w:val="段"/>
    <w:link w:val="Char0"/>
    <w:qFormat/>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character" w:customStyle="1" w:styleId="Char0">
    <w:name w:val="段 Char"/>
    <w:link w:val="af"/>
    <w:qFormat/>
    <w:rPr>
      <w:rFonts w:ascii="宋体" w:eastAsia="宋体" w:hAnsi="Times New Roman" w:cs="Times New Roman"/>
      <w:kern w:val="0"/>
      <w:szCs w:val="20"/>
    </w:rPr>
  </w:style>
  <w:style w:type="paragraph" w:customStyle="1" w:styleId="af0">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sz w:val="52"/>
    </w:rPr>
  </w:style>
  <w:style w:type="paragraph" w:customStyle="1" w:styleId="af1">
    <w:name w:val="前言、引言标题"/>
    <w:next w:val="a5"/>
    <w:qFormat/>
    <w:pPr>
      <w:shd w:val="clear" w:color="FFFFFF" w:fill="FFFFFF"/>
      <w:spacing w:before="640" w:after="560"/>
      <w:jc w:val="center"/>
      <w:outlineLvl w:val="0"/>
    </w:pPr>
    <w:rPr>
      <w:rFonts w:ascii="黑体" w:eastAsia="黑体" w:hAnsi="Times New Roman" w:cs="Times New Roman"/>
      <w:sz w:val="32"/>
    </w:rPr>
  </w:style>
  <w:style w:type="character" w:customStyle="1" w:styleId="10">
    <w:name w:val="标题 1 字符"/>
    <w:basedOn w:val="a6"/>
    <w:link w:val="1"/>
    <w:uiPriority w:val="9"/>
    <w:qFormat/>
    <w:rPr>
      <w:b/>
      <w:bCs/>
      <w:kern w:val="44"/>
      <w:sz w:val="44"/>
      <w:szCs w:val="44"/>
    </w:rPr>
  </w:style>
  <w:style w:type="paragraph" w:customStyle="1" w:styleId="TOC10">
    <w:name w:val="TOC 标题1"/>
    <w:basedOn w:val="1"/>
    <w:next w:val="a5"/>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36540-C7A5-410F-B167-3D44501D7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335</Words>
  <Characters>1915</Characters>
  <Application>Microsoft Office Word</Application>
  <DocSecurity>0</DocSecurity>
  <Lines>15</Lines>
  <Paragraphs>4</Paragraphs>
  <ScaleCrop>false</ScaleCrop>
  <Company/>
  <LinksUpToDate>false</LinksUpToDate>
  <CharactersWithSpaces>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贾 正昭</dc:creator>
  <cp:lastModifiedBy>13022</cp:lastModifiedBy>
  <cp:revision>6</cp:revision>
  <dcterms:created xsi:type="dcterms:W3CDTF">2023-09-22T02:32:00Z</dcterms:created>
  <dcterms:modified xsi:type="dcterms:W3CDTF">2024-02-06T07:16:00Z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0F1061AF501B4BFD803975F2DD3093AC_12</vt:lpwstr>
  </property>
</Properties>
</file>