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9C771">
      <w:pPr>
        <w:pStyle w:val="15"/>
        <w:keepNext w:val="0"/>
        <w:keepLines w:val="0"/>
        <w:pageBreakBefore w:val="0"/>
        <w:widowControl w:val="0"/>
        <w:suppressLineNumbers w:val="0"/>
        <w:shd w:val="clear" w:color="auto" w:fill="auto"/>
        <w:kinsoku/>
        <w:wordWrap/>
        <w:overflowPunct/>
        <w:topLinePunct w:val="0"/>
        <w:autoSpaceDE/>
        <w:autoSpaceDN/>
        <w:bidi w:val="0"/>
        <w:adjustRightInd/>
        <w:snapToGrid/>
        <w:spacing w:beforeAutospacing="0" w:after="0" w:afterAutospacing="0" w:line="560" w:lineRule="exact"/>
        <w:ind w:right="0"/>
        <w:jc w:val="both"/>
        <w:textAlignment w:val="auto"/>
        <w:rPr>
          <w:rFonts w:hint="default" w:ascii="黑体" w:hAnsi="黑体" w:eastAsia="黑体" w:cs="黑体"/>
          <w:i w:val="0"/>
          <w:iCs w:val="0"/>
          <w:caps w:val="0"/>
          <w:color w:val="0F1115"/>
          <w:spacing w:val="0"/>
          <w:sz w:val="32"/>
          <w:szCs w:val="32"/>
          <w:shd w:val="clear" w:color="auto" w:fill="FFFFFF"/>
          <w:lang w:val="en-US" w:eastAsia="zh-CN"/>
          <w14:ligatures w14:val="none"/>
        </w:rPr>
      </w:pPr>
      <w:bookmarkStart w:id="0" w:name="_Hlk194587076"/>
      <w:r>
        <w:rPr>
          <w:rFonts w:hint="eastAsia" w:ascii="黑体" w:hAnsi="黑体" w:eastAsia="黑体" w:cs="黑体"/>
          <w:i w:val="0"/>
          <w:iCs w:val="0"/>
          <w:caps w:val="0"/>
          <w:color w:val="0F1115"/>
          <w:spacing w:val="0"/>
          <w:sz w:val="32"/>
          <w:szCs w:val="32"/>
          <w:shd w:val="clear" w:color="auto" w:fill="FFFFFF"/>
          <w:lang w:val="en-US" w:eastAsia="zh-CN"/>
          <w14:ligatures w14:val="none"/>
        </w:rPr>
        <w:t>附件4</w:t>
      </w:r>
    </w:p>
    <w:p w14:paraId="2DB2BAE6">
      <w:pPr>
        <w:keepNext w:val="0"/>
        <w:keepLines w:val="0"/>
        <w:pageBreakBefore w:val="0"/>
        <w:widowControl/>
        <w:kinsoku/>
        <w:wordWrap w:val="0"/>
        <w:overflowPunct/>
        <w:topLinePunct w:val="0"/>
        <w:autoSpaceDE/>
        <w:autoSpaceDN/>
        <w:bidi w:val="0"/>
        <w:spacing w:after="0" w:line="560" w:lineRule="exact"/>
        <w:ind w:left="0" w:leftChars="0" w:firstLine="0" w:firstLineChars="0"/>
        <w:jc w:val="center"/>
        <w:textAlignment w:val="auto"/>
        <w:rPr>
          <w:rFonts w:ascii="方正小标宋简体" w:hAnsi="黑体" w:eastAsia="方正小标宋简体" w:cs="宋体"/>
          <w:color w:val="000000"/>
          <w:kern w:val="0"/>
          <w:sz w:val="44"/>
          <w:szCs w:val="44"/>
        </w:rPr>
      </w:pPr>
      <w:bookmarkStart w:id="13" w:name="_GoBack"/>
      <w:bookmarkEnd w:id="13"/>
    </w:p>
    <w:p w14:paraId="68899658">
      <w:pPr>
        <w:keepNext w:val="0"/>
        <w:keepLines w:val="0"/>
        <w:pageBreakBefore w:val="0"/>
        <w:widowControl/>
        <w:kinsoku/>
        <w:wordWrap w:val="0"/>
        <w:overflowPunct/>
        <w:topLinePunct w:val="0"/>
        <w:autoSpaceDE/>
        <w:autoSpaceDN/>
        <w:bidi w:val="0"/>
        <w:spacing w:after="0" w:line="560" w:lineRule="exact"/>
        <w:ind w:left="0" w:leftChars="0" w:firstLine="0" w:firstLineChars="0"/>
        <w:jc w:val="center"/>
        <w:textAlignment w:val="auto"/>
        <w:rPr>
          <w:rFonts w:ascii="方正小标宋简体" w:hAnsi="黑体" w:eastAsia="方正小标宋简体" w:cs="宋体"/>
          <w:color w:val="000000"/>
          <w:kern w:val="0"/>
          <w:sz w:val="44"/>
          <w:szCs w:val="44"/>
        </w:rPr>
      </w:pPr>
    </w:p>
    <w:p w14:paraId="26F8AA91">
      <w:pPr>
        <w:keepNext w:val="0"/>
        <w:keepLines w:val="0"/>
        <w:pageBreakBefore w:val="0"/>
        <w:widowControl/>
        <w:kinsoku/>
        <w:wordWrap w:val="0"/>
        <w:overflowPunct/>
        <w:topLinePunct w:val="0"/>
        <w:autoSpaceDE/>
        <w:autoSpaceDN/>
        <w:bidi w:val="0"/>
        <w:spacing w:after="0" w:line="560" w:lineRule="exact"/>
        <w:ind w:left="0" w:leftChars="0" w:firstLine="0" w:firstLineChars="0"/>
        <w:jc w:val="center"/>
        <w:textAlignment w:val="auto"/>
        <w:rPr>
          <w:rFonts w:ascii="方正小标宋简体" w:hAnsi="黑体" w:eastAsia="方正小标宋简体" w:cs="宋体"/>
          <w:color w:val="000000"/>
          <w:kern w:val="0"/>
          <w:sz w:val="44"/>
          <w:szCs w:val="44"/>
        </w:rPr>
      </w:pPr>
    </w:p>
    <w:p w14:paraId="605F0868">
      <w:pPr>
        <w:keepNext w:val="0"/>
        <w:keepLines w:val="0"/>
        <w:pageBreakBefore w:val="0"/>
        <w:widowControl/>
        <w:kinsoku/>
        <w:wordWrap w:val="0"/>
        <w:overflowPunct/>
        <w:topLinePunct w:val="0"/>
        <w:autoSpaceDE/>
        <w:autoSpaceDN/>
        <w:bidi w:val="0"/>
        <w:adjustRightInd/>
        <w:snapToGrid/>
        <w:spacing w:after="0" w:line="720" w:lineRule="exact"/>
        <w:ind w:left="0" w:leftChars="0" w:firstLine="0" w:firstLineChars="0"/>
        <w:jc w:val="center"/>
        <w:textAlignment w:val="auto"/>
        <w:rPr>
          <w:rFonts w:ascii="方正小标宋简体" w:hAnsi="黑体" w:eastAsia="方正小标宋简体" w:cs="宋体"/>
          <w:color w:val="000000"/>
          <w:kern w:val="0"/>
          <w:sz w:val="52"/>
          <w:szCs w:val="52"/>
        </w:rPr>
      </w:pPr>
    </w:p>
    <w:bookmarkEnd w:id="0"/>
    <w:p w14:paraId="2BF45D80">
      <w:pPr>
        <w:keepNext w:val="0"/>
        <w:keepLines w:val="0"/>
        <w:pageBreakBefore w:val="0"/>
        <w:widowControl/>
        <w:kinsoku/>
        <w:wordWrap w:val="0"/>
        <w:overflowPunct/>
        <w:topLinePunct w:val="0"/>
        <w:autoSpaceDE/>
        <w:autoSpaceDN/>
        <w:bidi w:val="0"/>
        <w:adjustRightInd/>
        <w:snapToGrid/>
        <w:spacing w:after="0" w:line="720" w:lineRule="exact"/>
        <w:ind w:left="0" w:leftChars="0" w:firstLine="0" w:firstLineChars="0"/>
        <w:jc w:val="center"/>
        <w:textAlignment w:val="auto"/>
        <w:rPr>
          <w:rFonts w:hint="eastAsia" w:ascii="方正小标宋简体" w:hAnsi="黑体" w:eastAsia="方正小标宋简体" w:cs="宋体"/>
          <w:color w:val="000000"/>
          <w:spacing w:val="0"/>
          <w:kern w:val="0"/>
          <w:sz w:val="52"/>
          <w:szCs w:val="52"/>
        </w:rPr>
      </w:pPr>
      <w:r>
        <w:rPr>
          <w:rFonts w:hint="eastAsia" w:ascii="方正小标宋简体" w:hAnsi="黑体" w:eastAsia="方正小标宋简体" w:cs="宋体"/>
          <w:color w:val="000000"/>
          <w:spacing w:val="0"/>
          <w:kern w:val="0"/>
          <w:sz w:val="52"/>
          <w:szCs w:val="52"/>
        </w:rPr>
        <w:t>专利池许可协议模板</w:t>
      </w:r>
    </w:p>
    <w:p w14:paraId="3FF88D60">
      <w:pPr>
        <w:keepNext w:val="0"/>
        <w:keepLines w:val="0"/>
        <w:pageBreakBefore w:val="0"/>
        <w:widowControl/>
        <w:kinsoku/>
        <w:wordWrap w:val="0"/>
        <w:overflowPunct/>
        <w:topLinePunct w:val="0"/>
        <w:autoSpaceDE/>
        <w:autoSpaceDN/>
        <w:bidi w:val="0"/>
        <w:adjustRightInd/>
        <w:snapToGrid/>
        <w:spacing w:after="0" w:line="720" w:lineRule="exact"/>
        <w:ind w:left="0" w:leftChars="0" w:firstLine="0" w:firstLineChars="0"/>
        <w:jc w:val="center"/>
        <w:textAlignment w:val="auto"/>
        <w:rPr>
          <w:rFonts w:hint="eastAsia" w:ascii="方正小标宋简体" w:hAnsi="黑体" w:eastAsia="方正小标宋简体" w:cs="宋体"/>
          <w:color w:val="000000"/>
          <w:spacing w:val="0"/>
          <w:kern w:val="0"/>
          <w:sz w:val="52"/>
          <w:szCs w:val="52"/>
        </w:rPr>
      </w:pPr>
      <w:r>
        <w:rPr>
          <w:rFonts w:hint="eastAsia" w:ascii="方正小标宋简体" w:hAnsi="黑体" w:eastAsia="方正小标宋简体" w:cs="宋体"/>
          <w:color w:val="000000"/>
          <w:spacing w:val="0"/>
          <w:kern w:val="0"/>
          <w:sz w:val="52"/>
          <w:szCs w:val="52"/>
        </w:rPr>
        <w:t>（征求意见稿）</w:t>
      </w:r>
    </w:p>
    <w:p w14:paraId="41942C7A">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29B0B3BD">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30FE07EA">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0F54A275">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2FF0ADE2">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32D6A044">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60C59AF3">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7E7A0426">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7D743E9F">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5FEA2067">
      <w:pPr>
        <w:keepNext w:val="0"/>
        <w:keepLines w:val="0"/>
        <w:pageBreakBefore w:val="0"/>
        <w:kinsoku/>
        <w:wordWrap w:val="0"/>
        <w:overflowPunct/>
        <w:topLinePunct w:val="0"/>
        <w:autoSpaceDE/>
        <w:autoSpaceDN/>
        <w:bidi w:val="0"/>
        <w:spacing w:after="0" w:line="560" w:lineRule="exact"/>
        <w:ind w:left="0" w:firstLine="624" w:firstLineChars="200"/>
        <w:textAlignment w:val="auto"/>
        <w:rPr>
          <w:rFonts w:hint="eastAsia" w:ascii="宋体" w:hAnsi="宋体" w:eastAsia="宋体"/>
          <w:sz w:val="30"/>
        </w:rPr>
      </w:pPr>
    </w:p>
    <w:p w14:paraId="4A348183">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21"/>
          <w:u w:val="single"/>
        </w:rPr>
      </w:pPr>
      <w:r>
        <w:rPr>
          <w:rFonts w:hint="eastAsia" w:ascii="仿宋_GB2312" w:hAnsi="宋体" w:eastAsia="仿宋_GB2312"/>
          <w:sz w:val="32"/>
          <w:szCs w:val="21"/>
        </w:rPr>
        <w:t>许 可 方：</w:t>
      </w:r>
      <w:r>
        <w:rPr>
          <w:rFonts w:hint="eastAsia" w:ascii="仿宋_GB2312" w:hAnsi="宋体" w:eastAsia="仿宋_GB2312"/>
          <w:sz w:val="32"/>
          <w:szCs w:val="21"/>
          <w:u w:val="single"/>
        </w:rPr>
        <w:t xml:space="preserve">                                   </w:t>
      </w:r>
    </w:p>
    <w:p w14:paraId="0AB58910">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21"/>
          <w:u w:val="single"/>
        </w:rPr>
      </w:pPr>
      <w:r>
        <w:rPr>
          <w:rFonts w:hint="eastAsia" w:ascii="仿宋_GB2312" w:hAnsi="宋体" w:eastAsia="仿宋_GB2312"/>
          <w:sz w:val="32"/>
          <w:szCs w:val="21"/>
        </w:rPr>
        <w:t>被许可方：</w:t>
      </w:r>
      <w:r>
        <w:rPr>
          <w:rFonts w:hint="eastAsia" w:ascii="仿宋_GB2312" w:hAnsi="宋体" w:eastAsia="仿宋_GB2312"/>
          <w:sz w:val="32"/>
          <w:szCs w:val="21"/>
          <w:u w:val="single"/>
        </w:rPr>
        <w:t xml:space="preserve">                                   </w:t>
      </w:r>
    </w:p>
    <w:p w14:paraId="594A9210">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21"/>
        </w:rPr>
      </w:pPr>
    </w:p>
    <w:p w14:paraId="1C446FF7">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21"/>
        </w:rPr>
      </w:pPr>
    </w:p>
    <w:p w14:paraId="58CB97F1">
      <w:pPr>
        <w:keepNext w:val="0"/>
        <w:keepLines w:val="0"/>
        <w:pageBreakBefore w:val="0"/>
        <w:kinsoku/>
        <w:wordWrap w:val="0"/>
        <w:overflowPunct/>
        <w:topLinePunct w:val="0"/>
        <w:autoSpaceDE/>
        <w:autoSpaceDN/>
        <w:bidi w:val="0"/>
        <w:spacing w:after="0" w:line="560" w:lineRule="exact"/>
        <w:ind w:left="0" w:firstLine="624" w:firstLineChars="200"/>
        <w:textAlignment w:val="auto"/>
        <w:rPr>
          <w:sz w:val="30"/>
        </w:rPr>
      </w:pPr>
    </w:p>
    <w:p w14:paraId="22F44E61">
      <w:pPr>
        <w:keepNext w:val="0"/>
        <w:keepLines w:val="0"/>
        <w:pageBreakBefore w:val="0"/>
        <w:widowControl/>
        <w:kinsoku/>
        <w:wordWrap w:val="0"/>
        <w:overflowPunct/>
        <w:topLinePunct w:val="0"/>
        <w:autoSpaceDE/>
        <w:autoSpaceDN/>
        <w:bidi w:val="0"/>
        <w:spacing w:after="0" w:line="560" w:lineRule="exact"/>
        <w:ind w:left="0" w:firstLine="624" w:firstLineChars="200"/>
        <w:jc w:val="left"/>
        <w:textAlignment w:val="auto"/>
        <w:rPr>
          <w:sz w:val="30"/>
        </w:rPr>
      </w:pPr>
      <w:r>
        <w:rPr>
          <w:sz w:val="30"/>
        </w:rPr>
        <w:br w:type="page"/>
      </w:r>
    </w:p>
    <w:p w14:paraId="4DEA1440">
      <w:pPr>
        <w:keepNext w:val="0"/>
        <w:keepLines w:val="0"/>
        <w:pageBreakBefore w:val="0"/>
        <w:kinsoku/>
        <w:wordWrap w:val="0"/>
        <w:overflowPunct/>
        <w:topLinePunct w:val="0"/>
        <w:autoSpaceDE/>
        <w:autoSpaceDN/>
        <w:bidi w:val="0"/>
        <w:spacing w:after="0" w:line="560" w:lineRule="exact"/>
        <w:ind w:left="0" w:firstLine="624" w:firstLineChars="200"/>
        <w:textAlignment w:val="auto"/>
        <w:rPr>
          <w:sz w:val="30"/>
        </w:rPr>
      </w:pPr>
    </w:p>
    <w:p w14:paraId="01869065">
      <w:pPr>
        <w:keepNext w:val="0"/>
        <w:keepLines w:val="0"/>
        <w:pageBreakBefore w:val="0"/>
        <w:kinsoku/>
        <w:wordWrap w:val="0"/>
        <w:overflowPunct/>
        <w:topLinePunct w:val="0"/>
        <w:autoSpaceDE/>
        <w:autoSpaceDN/>
        <w:bidi w:val="0"/>
        <w:spacing w:after="0" w:line="560" w:lineRule="exact"/>
        <w:ind w:left="0" w:firstLine="624" w:firstLineChars="200"/>
        <w:textAlignment w:val="auto"/>
        <w:rPr>
          <w:sz w:val="30"/>
        </w:rPr>
      </w:pPr>
    </w:p>
    <w:p w14:paraId="36A4D7C0">
      <w:pPr>
        <w:keepNext w:val="0"/>
        <w:keepLines w:val="0"/>
        <w:pageBreakBefore w:val="0"/>
        <w:kinsoku/>
        <w:wordWrap w:val="0"/>
        <w:overflowPunct/>
        <w:topLinePunct w:val="0"/>
        <w:autoSpaceDE/>
        <w:autoSpaceDN/>
        <w:bidi w:val="0"/>
        <w:spacing w:after="0" w:line="560" w:lineRule="exact"/>
        <w:ind w:left="0" w:firstLine="624" w:firstLineChars="200"/>
        <w:textAlignment w:val="auto"/>
        <w:rPr>
          <w:sz w:val="30"/>
        </w:rPr>
      </w:pPr>
    </w:p>
    <w:p w14:paraId="164D2F43">
      <w:pPr>
        <w:keepNext w:val="0"/>
        <w:keepLines w:val="0"/>
        <w:pageBreakBefore w:val="0"/>
        <w:kinsoku/>
        <w:wordWrap w:val="0"/>
        <w:overflowPunct/>
        <w:topLinePunct w:val="0"/>
        <w:autoSpaceDE/>
        <w:autoSpaceDN/>
        <w:bidi w:val="0"/>
        <w:spacing w:after="0" w:line="560" w:lineRule="exact"/>
        <w:ind w:left="0" w:firstLine="624" w:firstLineChars="200"/>
        <w:jc w:val="center"/>
        <w:textAlignment w:val="auto"/>
        <w:rPr>
          <w:rFonts w:eastAsia="黑体"/>
          <w:sz w:val="30"/>
        </w:rPr>
        <w:sectPr>
          <w:headerReference r:id="rId5" w:type="default"/>
          <w:pgSz w:w="11906" w:h="16838"/>
          <w:pgMar w:top="1440" w:right="1800" w:bottom="1440" w:left="1800" w:header="851" w:footer="992" w:gutter="0"/>
          <w:cols w:space="425" w:num="1"/>
          <w:docGrid w:linePitch="312" w:charSpace="0"/>
        </w:sectPr>
      </w:pPr>
    </w:p>
    <w:p w14:paraId="6FC654D0">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jc w:val="center"/>
        <w:textAlignment w:val="auto"/>
        <w:outlineLvl w:val="0"/>
        <w:rPr>
          <w:rFonts w:hint="eastAsia" w:ascii="黑体" w:hAnsi="黑体" w:eastAsia="黑体"/>
          <w:bCs/>
          <w:sz w:val="32"/>
          <w:szCs w:val="32"/>
        </w:rPr>
      </w:pPr>
      <w:r>
        <w:rPr>
          <w:rFonts w:hint="eastAsia" w:ascii="黑体" w:hAnsi="黑体" w:eastAsia="黑体"/>
          <w:bCs/>
          <w:sz w:val="32"/>
          <w:szCs w:val="32"/>
        </w:rPr>
        <w:t>前</w:t>
      </w:r>
      <w:r>
        <w:rPr>
          <w:rFonts w:hint="eastAsia" w:ascii="黑体" w:hAnsi="黑体" w:eastAsia="黑体"/>
          <w:bCs/>
          <w:sz w:val="32"/>
          <w:szCs w:val="32"/>
          <w:lang w:val="en-US" w:eastAsia="zh-CN"/>
        </w:rPr>
        <w:t xml:space="preserve">  </w:t>
      </w:r>
      <w:r>
        <w:rPr>
          <w:rFonts w:hint="eastAsia" w:ascii="黑体" w:hAnsi="黑体" w:eastAsia="黑体"/>
          <w:bCs/>
          <w:sz w:val="32"/>
          <w:szCs w:val="32"/>
        </w:rPr>
        <w:t>言</w:t>
      </w:r>
    </w:p>
    <w:p w14:paraId="1C47CA1D">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本专利池许可协议（“本协议”）由以下双方于</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rPr>
        <w:t>年</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rPr>
        <w:t>月</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rPr>
        <w:t>日（“签署日”）在</w:t>
      </w:r>
      <w:r>
        <w:rPr>
          <w:rFonts w:hint="eastAsia" w:ascii="仿宋_GB2312" w:hAnsi="宋体" w:eastAsia="仿宋_GB2312"/>
          <w:sz w:val="32"/>
          <w:szCs w:val="32"/>
          <w:u w:val="single"/>
        </w:rPr>
        <w:t xml:space="preserve">               </w:t>
      </w:r>
      <w:r>
        <w:rPr>
          <w:rFonts w:hint="eastAsia" w:ascii="仿宋_GB2312" w:hAnsi="宋体" w:eastAsia="仿宋_GB2312"/>
          <w:sz w:val="32"/>
          <w:szCs w:val="32"/>
        </w:rPr>
        <w:t>（“签署地”）签订：</w:t>
      </w:r>
    </w:p>
    <w:p w14:paraId="03B79BE7">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p>
    <w:p w14:paraId="5A630EF6">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许可方：</w:t>
      </w:r>
      <w:r>
        <w:rPr>
          <w:rFonts w:hint="eastAsia" w:ascii="仿宋_GB2312" w:hAnsi="宋体" w:eastAsia="仿宋_GB2312"/>
          <w:sz w:val="32"/>
          <w:szCs w:val="32"/>
          <w:u w:val="single"/>
        </w:rPr>
        <w:t xml:space="preserve">                    </w:t>
      </w:r>
      <w:r>
        <w:rPr>
          <w:rFonts w:hint="eastAsia" w:ascii="仿宋_GB2312" w:hAnsi="宋体" w:eastAsia="仿宋_GB2312"/>
          <w:sz w:val="32"/>
          <w:szCs w:val="32"/>
        </w:rPr>
        <w:t>（</w:t>
      </w:r>
      <w:r>
        <w:rPr>
          <w:rFonts w:hint="eastAsia" w:ascii="Times New Roman" w:eastAsia="仿宋_GB2312"/>
          <w:color w:val="000000"/>
          <w:sz w:val="32"/>
          <w:szCs w:val="32"/>
        </w:rPr>
        <w:t>专利池管理机构</w:t>
      </w:r>
      <w:r>
        <w:rPr>
          <w:rFonts w:hint="eastAsia" w:ascii="仿宋_GB2312" w:hAnsi="宋体" w:eastAsia="仿宋_GB2312"/>
          <w:sz w:val="32"/>
          <w:szCs w:val="32"/>
        </w:rPr>
        <w:t>）</w:t>
      </w:r>
    </w:p>
    <w:p w14:paraId="368D656D">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lang w:val="en-US" w:eastAsia="zh-CN"/>
        </w:rPr>
      </w:pPr>
      <w:r>
        <w:rPr>
          <w:rFonts w:hint="eastAsia" w:ascii="仿宋_GB2312" w:hAnsi="宋体" w:eastAsia="仿宋_GB2312"/>
          <w:sz w:val="32"/>
          <w:szCs w:val="32"/>
        </w:rPr>
        <w:t>通讯地址：</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p>
    <w:p w14:paraId="5173D0A3">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法定代表人：</w:t>
      </w:r>
      <w:r>
        <w:rPr>
          <w:rFonts w:hint="eastAsia" w:ascii="仿宋_GB2312" w:hAnsi="宋体" w:eastAsia="仿宋_GB2312"/>
          <w:sz w:val="32"/>
          <w:szCs w:val="32"/>
          <w:u w:val="single"/>
        </w:rPr>
        <w:t xml:space="preserve">                     </w:t>
      </w:r>
    </w:p>
    <w:p w14:paraId="7232DF23">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联系人：</w:t>
      </w:r>
      <w:r>
        <w:rPr>
          <w:rFonts w:hint="eastAsia" w:ascii="仿宋_GB2312" w:hAnsi="宋体" w:eastAsia="仿宋_GB2312"/>
          <w:sz w:val="32"/>
          <w:szCs w:val="32"/>
          <w:u w:val="single"/>
        </w:rPr>
        <w:t xml:space="preserve">                         </w:t>
      </w:r>
    </w:p>
    <w:p w14:paraId="54D4F8D4">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电话：</w:t>
      </w:r>
      <w:r>
        <w:rPr>
          <w:rFonts w:hint="eastAsia" w:ascii="仿宋_GB2312" w:hAnsi="宋体" w:eastAsia="仿宋_GB2312"/>
          <w:sz w:val="32"/>
          <w:szCs w:val="32"/>
          <w:u w:val="single"/>
        </w:rPr>
        <w:t xml:space="preserve">                           </w:t>
      </w:r>
    </w:p>
    <w:p w14:paraId="64AF1D19">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u w:val="single"/>
        </w:rPr>
      </w:pPr>
      <w:r>
        <w:rPr>
          <w:rFonts w:hint="eastAsia" w:ascii="仿宋_GB2312" w:hAnsi="宋体" w:eastAsia="仿宋_GB2312"/>
          <w:sz w:val="32"/>
          <w:szCs w:val="32"/>
        </w:rPr>
        <w:t>邮箱：</w:t>
      </w:r>
      <w:r>
        <w:rPr>
          <w:rFonts w:hint="eastAsia" w:ascii="仿宋_GB2312" w:hAnsi="宋体" w:eastAsia="仿宋_GB2312"/>
          <w:sz w:val="32"/>
          <w:szCs w:val="32"/>
          <w:u w:val="single"/>
        </w:rPr>
        <w:t xml:space="preserve">                           </w:t>
      </w:r>
    </w:p>
    <w:p w14:paraId="778B5741">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p>
    <w:p w14:paraId="093ACA51">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被许可方：</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rPr>
        <w:t>（企业/个人）</w:t>
      </w:r>
    </w:p>
    <w:p w14:paraId="73802B68">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通讯地址：</w:t>
      </w:r>
      <w:r>
        <w:rPr>
          <w:rFonts w:hint="eastAsia" w:ascii="仿宋_GB2312" w:hAnsi="宋体" w:eastAsia="仿宋_GB2312"/>
          <w:sz w:val="32"/>
          <w:szCs w:val="32"/>
          <w:u w:val="single"/>
        </w:rPr>
        <w:t xml:space="preserve">                       </w:t>
      </w:r>
    </w:p>
    <w:p w14:paraId="275130B7">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法定代表人：</w:t>
      </w:r>
      <w:r>
        <w:rPr>
          <w:rFonts w:hint="eastAsia" w:ascii="仿宋_GB2312" w:hAnsi="宋体" w:eastAsia="仿宋_GB2312"/>
          <w:sz w:val="32"/>
          <w:szCs w:val="32"/>
          <w:u w:val="single"/>
        </w:rPr>
        <w:t xml:space="preserve">                     </w:t>
      </w:r>
    </w:p>
    <w:p w14:paraId="7EFE26BF">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联系人：</w:t>
      </w:r>
      <w:r>
        <w:rPr>
          <w:rFonts w:hint="eastAsia" w:ascii="仿宋_GB2312" w:hAnsi="宋体" w:eastAsia="仿宋_GB2312"/>
          <w:sz w:val="32"/>
          <w:szCs w:val="32"/>
          <w:u w:val="single"/>
        </w:rPr>
        <w:t xml:space="preserve">                         </w:t>
      </w:r>
    </w:p>
    <w:p w14:paraId="2EDFE2CD">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r>
        <w:rPr>
          <w:rFonts w:hint="eastAsia" w:ascii="仿宋_GB2312" w:hAnsi="宋体" w:eastAsia="仿宋_GB2312"/>
          <w:sz w:val="32"/>
          <w:szCs w:val="32"/>
        </w:rPr>
        <w:t>电话：</w:t>
      </w:r>
      <w:r>
        <w:rPr>
          <w:rFonts w:hint="eastAsia" w:ascii="仿宋_GB2312" w:hAnsi="宋体" w:eastAsia="仿宋_GB2312"/>
          <w:sz w:val="32"/>
          <w:szCs w:val="32"/>
          <w:u w:val="single"/>
        </w:rPr>
        <w:t xml:space="preserve">                           </w:t>
      </w:r>
    </w:p>
    <w:p w14:paraId="523B76A5">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u w:val="single"/>
        </w:rPr>
      </w:pPr>
      <w:r>
        <w:rPr>
          <w:rFonts w:hint="eastAsia" w:ascii="仿宋_GB2312" w:hAnsi="宋体" w:eastAsia="仿宋_GB2312"/>
          <w:sz w:val="32"/>
          <w:szCs w:val="32"/>
        </w:rPr>
        <w:t>邮箱：</w:t>
      </w:r>
      <w:r>
        <w:rPr>
          <w:rFonts w:hint="eastAsia" w:ascii="仿宋_GB2312" w:hAnsi="宋体" w:eastAsia="仿宋_GB2312"/>
          <w:sz w:val="32"/>
          <w:szCs w:val="32"/>
          <w:u w:val="single"/>
        </w:rPr>
        <w:t xml:space="preserve">                           </w:t>
      </w:r>
    </w:p>
    <w:p w14:paraId="41BA148F">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p>
    <w:p w14:paraId="4922FBC5">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bookmarkStart w:id="1" w:name="_Hlk196747338"/>
      <w:r>
        <w:rPr>
          <w:rFonts w:hint="eastAsia" w:ascii="仿宋_GB2312" w:hAnsi="宋体" w:eastAsia="仿宋_GB2312"/>
          <w:sz w:val="32"/>
          <w:szCs w:val="32"/>
        </w:rPr>
        <w:t>许可方、被许可方单独称“一方”，合称“双方”。</w:t>
      </w:r>
    </w:p>
    <w:p w14:paraId="7EABD330">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仿宋_GB2312" w:hAnsi="宋体" w:eastAsia="仿宋_GB2312"/>
          <w:sz w:val="32"/>
          <w:szCs w:val="32"/>
        </w:rPr>
      </w:pPr>
    </w:p>
    <w:bookmarkEnd w:id="1"/>
    <w:p w14:paraId="39E86909">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both"/>
        <w:textAlignment w:val="auto"/>
        <w:rPr>
          <w:rFonts w:hint="eastAsia" w:ascii="宋体" w:hAnsi="宋体" w:eastAsia="宋体"/>
          <w:sz w:val="28"/>
          <w:szCs w:val="28"/>
        </w:rPr>
      </w:pPr>
      <w:r>
        <w:rPr>
          <w:rFonts w:hint="eastAsia" w:ascii="Times New Roman" w:eastAsia="仿宋_GB2312"/>
          <w:color w:val="000000"/>
          <w:sz w:val="32"/>
          <w:szCs w:val="32"/>
        </w:rPr>
        <w:t>根据《中华人民共和国民法典》《中华人民共和国专利法》《中华人民共和国反垄断法》等相关法律法规，双方</w:t>
      </w:r>
      <w:r>
        <w:rPr>
          <w:rFonts w:hint="eastAsia" w:ascii="仿宋_GB2312" w:hAnsi="宋体" w:eastAsia="仿宋_GB2312"/>
          <w:sz w:val="32"/>
          <w:szCs w:val="32"/>
        </w:rPr>
        <w:t>经平等协商，</w:t>
      </w:r>
      <w:r>
        <w:rPr>
          <w:rFonts w:hint="eastAsia" w:ascii="Times New Roman" w:eastAsia="仿宋_GB2312"/>
          <w:color w:val="000000"/>
          <w:sz w:val="32"/>
          <w:szCs w:val="32"/>
        </w:rPr>
        <w:t>达成如下协议约定</w:t>
      </w:r>
      <w:r>
        <w:rPr>
          <w:rFonts w:hint="eastAsia" w:ascii="仿宋_GB2312" w:hAnsi="宋体" w:eastAsia="仿宋_GB2312"/>
          <w:sz w:val="32"/>
          <w:szCs w:val="32"/>
        </w:rPr>
        <w:t>：</w:t>
      </w:r>
    </w:p>
    <w:p w14:paraId="34586D6C">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第一条  定义条款</w:t>
      </w:r>
    </w:p>
    <w:p w14:paraId="3D2F8D2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bookmarkStart w:id="2" w:name="_Hlk194591739"/>
      <w:r>
        <w:rPr>
          <w:rFonts w:hint="eastAsia" w:ascii="Times New Roman" w:eastAsia="仿宋_GB2312"/>
          <w:color w:val="000000"/>
          <w:spacing w:val="0"/>
          <w:sz w:val="32"/>
          <w:szCs w:val="32"/>
        </w:rPr>
        <w:t>在本协议中，除非双方另有书面约定，以下术语应具有如下含义：</w:t>
      </w:r>
    </w:p>
    <w:p w14:paraId="14ACB70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1. 普通实施许可：指许可方许可被许可方在约定范围内实施专利，同时保留自行实施或向第三方许可的权利。</w:t>
      </w:r>
    </w:p>
    <w:p w14:paraId="1A2C4016">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default" w:ascii="Times New Roman" w:eastAsia="仿宋_GB2312"/>
          <w:color w:val="auto"/>
          <w:spacing w:val="0"/>
          <w:sz w:val="32"/>
          <w:szCs w:val="32"/>
          <w:lang w:val="en-US" w:eastAsia="zh-CN"/>
        </w:rPr>
      </w:pPr>
      <w:r>
        <w:rPr>
          <w:rFonts w:hint="eastAsia" w:ascii="Times New Roman" w:eastAsia="仿宋_GB2312"/>
          <w:color w:val="000000"/>
          <w:spacing w:val="0"/>
          <w:sz w:val="32"/>
          <w:szCs w:val="32"/>
        </w:rPr>
        <w:t>2. XXX专利池：是指包括本协议附件所列明的</w:t>
      </w:r>
      <w:r>
        <w:rPr>
          <w:rFonts w:hint="eastAsia" w:ascii="Times New Roman" w:eastAsia="仿宋_GB2312"/>
          <w:color w:val="000000"/>
          <w:spacing w:val="0"/>
          <w:sz w:val="32"/>
          <w:szCs w:val="32"/>
          <w:lang w:val="en-US" w:eastAsia="zh-CN"/>
        </w:rPr>
        <w:t>专</w:t>
      </w:r>
      <w:r>
        <w:rPr>
          <w:rFonts w:hint="eastAsia" w:ascii="Times New Roman" w:eastAsia="仿宋_GB2312"/>
          <w:color w:val="auto"/>
          <w:spacing w:val="0"/>
          <w:sz w:val="32"/>
          <w:szCs w:val="32"/>
          <w:lang w:val="en-US" w:eastAsia="zh-CN"/>
        </w:rPr>
        <w:t>利</w:t>
      </w:r>
      <w:r>
        <w:rPr>
          <w:rFonts w:hint="eastAsia" w:ascii="Times New Roman" w:eastAsia="仿宋_GB2312"/>
          <w:color w:val="auto"/>
          <w:spacing w:val="0"/>
          <w:sz w:val="32"/>
          <w:szCs w:val="32"/>
        </w:rPr>
        <w:t>，以及后续纳入XXX专利池的其他</w:t>
      </w:r>
      <w:r>
        <w:rPr>
          <w:rFonts w:hint="eastAsia" w:ascii="Times New Roman" w:eastAsia="仿宋_GB2312"/>
          <w:color w:val="auto"/>
          <w:spacing w:val="0"/>
          <w:sz w:val="32"/>
          <w:szCs w:val="32"/>
          <w:lang w:val="en-US" w:eastAsia="zh-CN"/>
        </w:rPr>
        <w:t>专利</w:t>
      </w:r>
      <w:r>
        <w:rPr>
          <w:rFonts w:hint="eastAsia" w:ascii="Times New Roman" w:eastAsia="仿宋_GB2312"/>
          <w:color w:val="auto"/>
          <w:spacing w:val="0"/>
          <w:sz w:val="32"/>
          <w:szCs w:val="32"/>
        </w:rPr>
        <w:t>在内的专利集合。本专利池的技术领域为</w:t>
      </w:r>
      <w:r>
        <w:rPr>
          <w:rFonts w:hint="eastAsia" w:ascii="Times New Roman" w:eastAsia="仿宋_GB2312"/>
          <w:color w:val="auto"/>
          <w:spacing w:val="0"/>
          <w:sz w:val="32"/>
          <w:szCs w:val="32"/>
          <w:u w:val="single"/>
          <w:lang w:val="en-US" w:eastAsia="zh-CN"/>
        </w:rPr>
        <w:t xml:space="preserve">                            </w:t>
      </w:r>
    </w:p>
    <w:p w14:paraId="00C1305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3. 许可专利：指本条第2款所指的XXX专利池包含的专利，可以是全部专利或部分专利，以本协议附件清单所列为准。</w:t>
      </w:r>
    </w:p>
    <w:p w14:paraId="010C238F">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4. 许可产品：指被许可方在许可区域和许可领域内制造、使用、许诺销售、销售或进口的，实施本协议附件所列许可专利权利要求技术方案的产品。</w:t>
      </w:r>
    </w:p>
    <w:bookmarkEnd w:id="2"/>
    <w:p w14:paraId="168B374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5. 技术资料：指与专利实施直接相关的资料，包括但不限于专利文献及与实施专利相关的设计图纸、实验数据、工艺流程等非商业秘密的技术文件。</w:t>
      </w:r>
    </w:p>
    <w:p w14:paraId="436E17C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6. 分许可：指被许可方在取得许可方同意后，将本协议项下取得的专利实施许可再授予第三方的行为。</w:t>
      </w:r>
    </w:p>
    <w:p w14:paraId="5B4E9C71">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eastAsia="zh-CN"/>
        </w:rPr>
      </w:pPr>
      <w:r>
        <w:rPr>
          <w:rFonts w:hint="eastAsia" w:ascii="Times New Roman" w:eastAsia="仿宋_GB2312"/>
          <w:color w:val="000000"/>
          <w:spacing w:val="0"/>
          <w:sz w:val="32"/>
          <w:szCs w:val="32"/>
          <w:lang w:val="en-US" w:eastAsia="zh-CN"/>
        </w:rPr>
        <w:t xml:space="preserve">7. </w:t>
      </w:r>
      <w:r>
        <w:rPr>
          <w:rFonts w:hint="eastAsia" w:ascii="Times New Roman" w:eastAsia="仿宋_GB2312"/>
          <w:color w:val="000000"/>
          <w:spacing w:val="0"/>
          <w:sz w:val="32"/>
          <w:szCs w:val="32"/>
        </w:rPr>
        <w:t>关联方：指直接或者间接控制一方、被一方直接或者间接控制、或者与一方共同受同一主体直接或者间接控制的法人或者其他组织</w:t>
      </w: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lang w:val="en-US" w:eastAsia="zh-CN"/>
        </w:rPr>
        <w:t>可根据实际情况进行约定</w:t>
      </w:r>
      <w:r>
        <w:rPr>
          <w:rFonts w:hint="eastAsia" w:ascii="Times New Roman" w:eastAsia="仿宋_GB2312"/>
          <w:color w:val="000000"/>
          <w:spacing w:val="0"/>
          <w:sz w:val="32"/>
          <w:szCs w:val="32"/>
          <w:lang w:eastAsia="zh-CN"/>
        </w:rPr>
        <w:t>）。</w:t>
      </w:r>
    </w:p>
    <w:p w14:paraId="516F9E5A">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第二条  许可的授予</w:t>
      </w:r>
    </w:p>
    <w:p w14:paraId="40DDD87F">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bookmarkStart w:id="3" w:name="_Hlk194591835"/>
      <w:r>
        <w:rPr>
          <w:rFonts w:hint="eastAsia" w:ascii="Times New Roman" w:eastAsia="仿宋_GB2312"/>
          <w:color w:val="000000"/>
          <w:spacing w:val="0"/>
          <w:sz w:val="32"/>
          <w:szCs w:val="32"/>
        </w:rPr>
        <w:t>1. 许可的方式与范围</w:t>
      </w:r>
    </w:p>
    <w:p w14:paraId="5810AA01">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在符合本协议的前提下，针对许可专利，许可方授予被许可方一项普通实施许可，该许可受限于以下条件：</w:t>
      </w:r>
    </w:p>
    <w:p w14:paraId="3707379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eastAsia="zh-CN"/>
        </w:rPr>
      </w:pPr>
      <w:r>
        <w:rPr>
          <w:rFonts w:hint="eastAsia" w:ascii="Times New Roman" w:eastAsia="仿宋_GB2312"/>
          <w:color w:val="000000"/>
          <w:spacing w:val="0"/>
          <w:sz w:val="32"/>
          <w:szCs w:val="32"/>
        </w:rPr>
        <w:t>（1）被许可方应在本协议约定的许可期限范围内实施许可专利，本协议约定的许可期限为自</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年</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月</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日至</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年</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月</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日止；各许可专利的许可期限不超过其专利剩余有效期，具体以附件清单为准</w:t>
      </w:r>
      <w:r>
        <w:rPr>
          <w:rFonts w:hint="eastAsia" w:ascii="Times New Roman" w:eastAsia="仿宋_GB2312"/>
          <w:color w:val="000000"/>
          <w:spacing w:val="0"/>
          <w:sz w:val="32"/>
          <w:szCs w:val="32"/>
          <w:lang w:eastAsia="zh-CN"/>
        </w:rPr>
        <w:t>。</w:t>
      </w:r>
    </w:p>
    <w:p w14:paraId="0D9D69C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eastAsia="zh-CN"/>
        </w:rPr>
      </w:pPr>
      <w:r>
        <w:rPr>
          <w:rFonts w:hint="eastAsia" w:ascii="Times New Roman" w:eastAsia="仿宋_GB2312"/>
          <w:color w:val="000000"/>
          <w:spacing w:val="0"/>
          <w:sz w:val="32"/>
          <w:szCs w:val="32"/>
        </w:rPr>
        <w:t>（2）被许可方应在本协议约定的许可区域（“许可区域”）范围内实施许可专利，本协议约定的许可区域为</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rPr>
        <w:t>（中华人民共和国境内/双方约定的其他区域）</w:t>
      </w:r>
      <w:r>
        <w:rPr>
          <w:rFonts w:hint="eastAsia" w:ascii="Times New Roman" w:eastAsia="仿宋_GB2312"/>
          <w:color w:val="000000"/>
          <w:spacing w:val="0"/>
          <w:sz w:val="32"/>
          <w:szCs w:val="32"/>
          <w:lang w:eastAsia="zh-CN"/>
        </w:rPr>
        <w:t>。</w:t>
      </w:r>
    </w:p>
    <w:p w14:paraId="0C8C00E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eastAsia="zh-CN"/>
        </w:rPr>
      </w:pPr>
      <w:r>
        <w:rPr>
          <w:rFonts w:hint="eastAsia" w:ascii="Times New Roman" w:eastAsia="仿宋_GB2312"/>
          <w:color w:val="000000"/>
          <w:spacing w:val="0"/>
          <w:sz w:val="32"/>
          <w:szCs w:val="32"/>
        </w:rPr>
        <w:t>（3）被许可方应当遵守本协议第二条第3款关于分许可的约定</w:t>
      </w:r>
      <w:r>
        <w:rPr>
          <w:rFonts w:hint="eastAsia" w:ascii="Times New Roman" w:eastAsia="仿宋_GB2312"/>
          <w:color w:val="000000"/>
          <w:spacing w:val="0"/>
          <w:sz w:val="32"/>
          <w:szCs w:val="32"/>
          <w:lang w:eastAsia="zh-CN"/>
        </w:rPr>
        <w:t>。</w:t>
      </w:r>
    </w:p>
    <w:p w14:paraId="79EA91E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hAnsi="Times New Roman" w:eastAsia="仿宋_GB2312" w:cs="Times New Roman"/>
          <w:color w:val="000000"/>
          <w:spacing w:val="0"/>
          <w:sz w:val="32"/>
          <w:szCs w:val="32"/>
        </w:rPr>
      </w:pPr>
      <w:r>
        <w:rPr>
          <w:rFonts w:hint="eastAsia" w:ascii="Times New Roman" w:eastAsia="仿宋_GB2312"/>
          <w:color w:val="000000"/>
          <w:spacing w:val="0"/>
          <w:sz w:val="32"/>
          <w:szCs w:val="32"/>
        </w:rPr>
        <w:t>（</w:t>
      </w:r>
      <w:r>
        <w:rPr>
          <w:rFonts w:hint="eastAsia" w:ascii="Times New Roman" w:eastAsia="仿宋_GB2312"/>
          <w:color w:val="000000"/>
          <w:spacing w:val="0"/>
          <w:sz w:val="32"/>
          <w:szCs w:val="32"/>
          <w:lang w:val="en-US" w:eastAsia="zh-CN"/>
        </w:rPr>
        <w:t>4</w:t>
      </w:r>
      <w:r>
        <w:rPr>
          <w:rFonts w:hint="eastAsia" w:ascii="Times New Roman" w:eastAsia="仿宋_GB2312"/>
          <w:color w:val="000000"/>
          <w:spacing w:val="0"/>
          <w:sz w:val="32"/>
          <w:szCs w:val="32"/>
        </w:rPr>
        <w:t>）许可期限内专利池新增入池专利的，被许可方自该专利纳入专利池之日起有权按照本协议约定实施该专利，无需另行签署许可协议；许可费因专利增减需要调整的，按</w:t>
      </w:r>
      <w:r>
        <w:rPr>
          <w:rFonts w:hint="eastAsia" w:ascii="Times New Roman" w:hAnsi="Times New Roman" w:eastAsia="仿宋_GB2312" w:cs="Times New Roman"/>
          <w:color w:val="000000"/>
          <w:spacing w:val="0"/>
          <w:sz w:val="32"/>
          <w:szCs w:val="32"/>
        </w:rPr>
        <w:t>照本协议第三条第</w:t>
      </w:r>
      <w:r>
        <w:rPr>
          <w:rFonts w:hint="eastAsia" w:ascii="Times New Roman" w:hAnsi="Times New Roman" w:eastAsia="仿宋_GB2312" w:cs="Times New Roman"/>
          <w:color w:val="000000"/>
          <w:spacing w:val="0"/>
          <w:sz w:val="32"/>
          <w:szCs w:val="32"/>
          <w:lang w:val="en-US" w:eastAsia="zh-CN"/>
        </w:rPr>
        <w:t>2</w:t>
      </w:r>
      <w:r>
        <w:rPr>
          <w:rFonts w:hint="eastAsia" w:ascii="Times New Roman" w:hAnsi="Times New Roman" w:eastAsia="仿宋_GB2312" w:cs="Times New Roman"/>
          <w:color w:val="000000"/>
          <w:spacing w:val="0"/>
          <w:sz w:val="32"/>
          <w:szCs w:val="32"/>
        </w:rPr>
        <w:t>款关于许可费调整</w:t>
      </w:r>
      <w:r>
        <w:rPr>
          <w:rFonts w:hint="eastAsia" w:ascii="Times New Roman" w:hAnsi="Times New Roman" w:eastAsia="仿宋_GB2312" w:cs="Times New Roman"/>
          <w:color w:val="000000"/>
          <w:spacing w:val="0"/>
          <w:sz w:val="32"/>
          <w:szCs w:val="32"/>
          <w:lang w:val="en-US" w:eastAsia="zh-CN"/>
        </w:rPr>
        <w:t>机制</w:t>
      </w:r>
      <w:r>
        <w:rPr>
          <w:rFonts w:hint="eastAsia" w:ascii="Times New Roman" w:hAnsi="Times New Roman" w:eastAsia="仿宋_GB2312" w:cs="Times New Roman"/>
          <w:color w:val="000000"/>
          <w:spacing w:val="0"/>
          <w:sz w:val="32"/>
          <w:szCs w:val="32"/>
        </w:rPr>
        <w:t>的约定处理。</w:t>
      </w:r>
    </w:p>
    <w:p w14:paraId="555318C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w:t>
      </w:r>
      <w:r>
        <w:rPr>
          <w:rFonts w:hint="eastAsia" w:ascii="Times New Roman" w:eastAsia="仿宋_GB2312"/>
          <w:color w:val="000000"/>
          <w:spacing w:val="0"/>
          <w:sz w:val="32"/>
          <w:szCs w:val="32"/>
          <w:lang w:val="en-US" w:eastAsia="zh-CN"/>
        </w:rPr>
        <w:t>5</w:t>
      </w:r>
      <w:r>
        <w:rPr>
          <w:rFonts w:hint="eastAsia" w:ascii="Times New Roman" w:eastAsia="仿宋_GB2312"/>
          <w:color w:val="000000"/>
          <w:spacing w:val="0"/>
          <w:sz w:val="32"/>
          <w:szCs w:val="32"/>
        </w:rPr>
        <w:t>）被许可方有权就附件清单中的部分许可专利申请许可。许可方无正当理由不得强制或者变相强制被许可方接受一揽子许可；许可方基于正当理由拒绝部分许可的，应当书面说明理由。部分许可的许可费率由双方另行协商确定。</w:t>
      </w:r>
    </w:p>
    <w:p w14:paraId="27AB550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w:t>
      </w:r>
      <w:r>
        <w:rPr>
          <w:rFonts w:hint="eastAsia" w:ascii="Times New Roman" w:eastAsia="仿宋_GB2312"/>
          <w:color w:val="000000"/>
          <w:spacing w:val="0"/>
          <w:sz w:val="32"/>
          <w:szCs w:val="32"/>
          <w:lang w:val="en-US" w:eastAsia="zh-CN"/>
        </w:rPr>
        <w:t>6</w:t>
      </w:r>
      <w:r>
        <w:rPr>
          <w:rFonts w:hint="eastAsia" w:ascii="Times New Roman" w:eastAsia="仿宋_GB2312"/>
          <w:color w:val="000000"/>
          <w:spacing w:val="0"/>
          <w:sz w:val="32"/>
          <w:szCs w:val="32"/>
        </w:rPr>
        <w:t>）其他根据本协议约定被许可方应当遵守的条件。</w:t>
      </w:r>
    </w:p>
    <w:p w14:paraId="5DDFB224">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 许可实施行为</w:t>
      </w:r>
    </w:p>
    <w:p w14:paraId="037FE649">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针对许可专利，根据本协议取得的专利实施许可，被许可方可以开展以下所示的全部或部分实施行为（具体以本协议约定为准）：</w:t>
      </w:r>
    </w:p>
    <w:p w14:paraId="2EB93273">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（1）为生产经营目的制造、使用、许诺销售、销售、进口落入许可专利保护范围的产品。</w:t>
      </w:r>
    </w:p>
    <w:p w14:paraId="654C70A3">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（2）为生产经营目的使用许可专利方法。</w:t>
      </w:r>
    </w:p>
    <w:p w14:paraId="6BABC12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（3）为生产经营目的使用、许诺销售、销售、进口依照许可专利方法直接获得的产品。</w:t>
      </w:r>
    </w:p>
    <w:p w14:paraId="1A74FC43">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（4）为生产经营目的制造、许诺销售、销售、进口落入许可专利（当许可专利为外观设计专利时）保护范围的产品。</w:t>
      </w:r>
    </w:p>
    <w:p w14:paraId="19F85AC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（5）许可专利为境外专利的，其实施行为的范围依照该专利所在地法律确定；双方可以另行约定境外专利的实施行为范围。</w:t>
      </w:r>
    </w:p>
    <w:p w14:paraId="13C6C446">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3</w:t>
      </w: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rPr>
        <w:t xml:space="preserve"> 分许可</w:t>
      </w:r>
    </w:p>
    <w:p w14:paraId="4837C6B6">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在符合本协议的前提下，针对许可专利的分许可事宜，双方同意根据以下所示安排处理：</w:t>
      </w:r>
    </w:p>
    <w:p w14:paraId="610F0B8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eastAsia="zh-CN"/>
        </w:rPr>
      </w:pPr>
      <w:r>
        <w:rPr>
          <w:rFonts w:hint="eastAsia" w:ascii="Times New Roman" w:eastAsia="仿宋_GB2312"/>
          <w:color w:val="000000"/>
          <w:spacing w:val="0"/>
          <w:sz w:val="32"/>
          <w:szCs w:val="32"/>
        </w:rPr>
        <w:t>（1）未经许可方事先书面同意，被许可方不得向任何第三方授予关于许可专利的任何分许可</w:t>
      </w:r>
      <w:r>
        <w:rPr>
          <w:rFonts w:hint="eastAsia" w:ascii="Times New Roman" w:eastAsia="仿宋_GB2312"/>
          <w:color w:val="000000"/>
          <w:spacing w:val="0"/>
          <w:sz w:val="32"/>
          <w:szCs w:val="32"/>
          <w:lang w:eastAsia="zh-CN"/>
        </w:rPr>
        <w:t>。</w:t>
      </w:r>
    </w:p>
    <w:p w14:paraId="7D75B4D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default" w:ascii="Times New Roman" w:eastAsia="仿宋_GB2312"/>
          <w:color w:val="000000"/>
          <w:spacing w:val="0"/>
          <w:sz w:val="32"/>
          <w:szCs w:val="32"/>
          <w:u w:val="single"/>
          <w:lang w:val="en-US" w:eastAsia="zh-CN"/>
        </w:rPr>
      </w:pPr>
      <w:r>
        <w:rPr>
          <w:rFonts w:hint="eastAsia" w:ascii="Times New Roman" w:eastAsia="仿宋_GB2312"/>
          <w:color w:val="000000"/>
          <w:spacing w:val="0"/>
          <w:sz w:val="32"/>
          <w:szCs w:val="32"/>
        </w:rPr>
        <w:t>（</w:t>
      </w:r>
      <w:r>
        <w:rPr>
          <w:rFonts w:hint="eastAsia" w:ascii="Times New Roman" w:eastAsia="仿宋_GB2312"/>
          <w:color w:val="000000"/>
          <w:spacing w:val="0"/>
          <w:sz w:val="32"/>
          <w:szCs w:val="32"/>
          <w:lang w:val="en-US" w:eastAsia="zh-CN"/>
        </w:rPr>
        <w:t>2</w:t>
      </w:r>
      <w:r>
        <w:rPr>
          <w:rFonts w:hint="eastAsia" w:ascii="Times New Roman" w:eastAsia="仿宋_GB2312"/>
          <w:color w:val="000000"/>
          <w:spacing w:val="0"/>
          <w:sz w:val="32"/>
          <w:szCs w:val="32"/>
        </w:rPr>
        <w:t>）经许可方书面同意，被许可方可在许可方指定的范围内向</w:t>
      </w:r>
      <w:r>
        <w:rPr>
          <w:rFonts w:hint="eastAsia" w:ascii="Times New Roman" w:eastAsia="仿宋_GB2312"/>
          <w:color w:val="000000"/>
          <w:spacing w:val="0"/>
          <w:sz w:val="32"/>
          <w:szCs w:val="32"/>
          <w:lang w:val="en-US" w:eastAsia="zh-CN"/>
        </w:rPr>
        <w:t>相关</w:t>
      </w:r>
      <w:r>
        <w:rPr>
          <w:rFonts w:hint="eastAsia" w:ascii="Times New Roman" w:eastAsia="仿宋_GB2312"/>
          <w:color w:val="000000"/>
          <w:spacing w:val="0"/>
          <w:sz w:val="32"/>
          <w:szCs w:val="32"/>
        </w:rPr>
        <w:t>企业授予分许可，但需支付额外分成费用。</w:t>
      </w:r>
      <w:r>
        <w:rPr>
          <w:rFonts w:hint="eastAsia" w:ascii="Times New Roman" w:eastAsia="仿宋_GB2312"/>
          <w:color w:val="000000"/>
          <w:spacing w:val="0"/>
          <w:sz w:val="32"/>
          <w:szCs w:val="32"/>
          <w:lang w:val="en-US" w:eastAsia="zh-CN"/>
        </w:rPr>
        <w:t>指定范围包括：</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u w:val="none"/>
          <w:lang w:val="en-US" w:eastAsia="zh-CN"/>
        </w:rPr>
        <w:t>；相关企业具体包括：</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highlight w:val="none"/>
        </w:rPr>
        <w:t>。</w:t>
      </w:r>
    </w:p>
    <w:bookmarkEnd w:id="3"/>
    <w:p w14:paraId="3CB9A2D3">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4</w:t>
      </w:r>
      <w:r>
        <w:rPr>
          <w:rFonts w:hint="eastAsia" w:ascii="Times New Roman" w:eastAsia="仿宋_GB2312"/>
          <w:color w:val="000000"/>
          <w:spacing w:val="0"/>
          <w:sz w:val="32"/>
          <w:szCs w:val="32"/>
          <w:highlight w:val="none"/>
          <w:lang w:eastAsia="zh-CN"/>
        </w:rPr>
        <w:t>.</w:t>
      </w:r>
      <w:r>
        <w:rPr>
          <w:rFonts w:hint="eastAsia" w:ascii="Times New Roman" w:eastAsia="仿宋_GB2312"/>
          <w:color w:val="000000"/>
          <w:spacing w:val="0"/>
          <w:sz w:val="32"/>
          <w:szCs w:val="32"/>
          <w:highlight w:val="none"/>
        </w:rPr>
        <w:t xml:space="preserve"> 专利实施许可协议备案</w:t>
      </w:r>
    </w:p>
    <w:p w14:paraId="490BC62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双方可协商决定是否向国家知识产权局申请专利实施许可备案。如双方决定备案的，许可方应在协议签订后</w:t>
      </w:r>
      <w:r>
        <w:rPr>
          <w:rFonts w:hint="eastAsia" w:ascii="Times New Roman" w:eastAsia="仿宋_GB2312"/>
          <w:color w:val="000000"/>
          <w:spacing w:val="0"/>
          <w:sz w:val="32"/>
          <w:szCs w:val="32"/>
          <w:highlight w:val="none"/>
          <w:u w:val="single"/>
        </w:rPr>
        <w:t xml:space="preserve">  </w:t>
      </w:r>
      <w:r>
        <w:rPr>
          <w:rFonts w:hint="eastAsia" w:ascii="Times New Roman" w:eastAsia="仿宋_GB2312"/>
          <w:color w:val="000000"/>
          <w:spacing w:val="0"/>
          <w:sz w:val="32"/>
          <w:szCs w:val="32"/>
          <w:highlight w:val="none"/>
          <w:u w:val="single"/>
          <w:lang w:val="en-US" w:eastAsia="zh-CN"/>
        </w:rPr>
        <w:t xml:space="preserve"> </w:t>
      </w:r>
      <w:r>
        <w:rPr>
          <w:rFonts w:hint="eastAsia" w:ascii="Times New Roman" w:eastAsia="仿宋_GB2312"/>
          <w:color w:val="000000"/>
          <w:spacing w:val="0"/>
          <w:sz w:val="32"/>
          <w:szCs w:val="32"/>
          <w:highlight w:val="none"/>
          <w:u w:val="single"/>
        </w:rPr>
        <w:t xml:space="preserve"> </w:t>
      </w:r>
      <w:r>
        <w:rPr>
          <w:rFonts w:hint="eastAsia" w:ascii="Times New Roman" w:eastAsia="仿宋_GB2312"/>
          <w:color w:val="000000"/>
          <w:spacing w:val="0"/>
          <w:sz w:val="32"/>
          <w:szCs w:val="32"/>
          <w:highlight w:val="none"/>
        </w:rPr>
        <w:t>日内递交备案申请，被许可方应当予以配合。</w:t>
      </w:r>
    </w:p>
    <w:p w14:paraId="0C9C67F3">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5. 避免重复许可与权利穷竭</w:t>
      </w:r>
    </w:p>
    <w:p w14:paraId="319F3F0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（1）许可产品由被许可方或者其关联方在许可区域内合法售出后，他人对该产品的使用、许诺销售、销售、进口行为不视为侵犯许可专利权。</w:t>
      </w:r>
    </w:p>
    <w:p w14:paraId="20F59AA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2）许可方及其代表的专利权人不得就同一许可产品、同一实施行为重复收取许可费。双方应当在附件中明确本协议许可所覆盖的产业链层级；被许可方已经就某一层级支付许可费的，其他层级不得就同一实施行为重复收取许可费。</w:t>
      </w:r>
    </w:p>
    <w:p w14:paraId="56361C83">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仿宋_GB2312" w:hAnsi="宋体" w:eastAsia="仿宋_GB2312"/>
          <w:sz w:val="32"/>
          <w:szCs w:val="32"/>
        </w:rPr>
      </w:pPr>
      <w:r>
        <w:rPr>
          <w:rFonts w:hint="eastAsia" w:ascii="黑体" w:hAnsi="黑体" w:eastAsia="黑体"/>
          <w:bCs/>
          <w:sz w:val="32"/>
          <w:szCs w:val="32"/>
        </w:rPr>
        <w:t>第三条  许可费及支付方式</w:t>
      </w:r>
    </w:p>
    <w:p w14:paraId="57587AA1">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bookmarkStart w:id="4" w:name="_Hlk194591888"/>
      <w:r>
        <w:rPr>
          <w:rFonts w:hint="eastAsia" w:ascii="Times New Roman" w:eastAsia="仿宋_GB2312"/>
          <w:color w:val="000000"/>
          <w:spacing w:val="0"/>
          <w:sz w:val="32"/>
          <w:szCs w:val="32"/>
        </w:rPr>
        <w:t>1. 许可费及支付方式</w:t>
      </w:r>
    </w:p>
    <w:p w14:paraId="44A0D250">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被许可方同意根据以下第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项约定的付款方式支付许可费：</w:t>
      </w:r>
    </w:p>
    <w:p w14:paraId="5D481889">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（1）固定费用</w:t>
      </w:r>
    </w:p>
    <w:p w14:paraId="4D89EC4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被许可方应当在签订本协议后</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日内支付给许可方的固定费用共计</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元人民币（大写：</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w:t>
      </w:r>
    </w:p>
    <w:p w14:paraId="4685FCA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（2）提成费用</w:t>
      </w:r>
    </w:p>
    <w:p w14:paraId="1CBFFF0F">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自许可产品首次销售发生之日起，被许可方应在</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（每年/每六个月/每月/……）的最后一日前按照以下第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种方式向许可方支付</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（当年/前六个月/当月/……）的提成费用。</w:t>
      </w:r>
    </w:p>
    <w:p w14:paraId="7FDF8A9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ascii="Times New Roman" w:eastAsia="仿宋_GB2312"/>
          <w:color w:val="000000"/>
          <w:spacing w:val="0"/>
          <w:sz w:val="32"/>
          <w:szCs w:val="32"/>
        </w:rPr>
        <w:fldChar w:fldCharType="begin"/>
      </w:r>
      <w:r>
        <w:rPr>
          <w:rFonts w:ascii="Times New Roman" w:eastAsia="仿宋_GB2312"/>
          <w:color w:val="000000"/>
          <w:spacing w:val="0"/>
          <w:sz w:val="32"/>
          <w:szCs w:val="32"/>
        </w:rPr>
        <w:instrText xml:space="preserve"> </w:instrText>
      </w:r>
      <w:r>
        <w:rPr>
          <w:rFonts w:hint="eastAsia" w:ascii="Times New Roman" w:eastAsia="仿宋_GB2312"/>
          <w:color w:val="000000"/>
          <w:spacing w:val="0"/>
          <w:sz w:val="32"/>
          <w:szCs w:val="32"/>
        </w:rPr>
        <w:instrText xml:space="preserve">= 1 \* GB3</w:instrText>
      </w:r>
      <w:r>
        <w:rPr>
          <w:rFonts w:ascii="Times New Roman" w:eastAsia="仿宋_GB2312"/>
          <w:color w:val="000000"/>
          <w:spacing w:val="0"/>
          <w:sz w:val="32"/>
          <w:szCs w:val="32"/>
        </w:rPr>
        <w:instrText xml:space="preserve"> </w:instrText>
      </w:r>
      <w:r>
        <w:rPr>
          <w:rFonts w:ascii="Times New Roman" w:eastAsia="仿宋_GB2312"/>
          <w:color w:val="000000"/>
          <w:spacing w:val="0"/>
          <w:sz w:val="32"/>
          <w:szCs w:val="32"/>
        </w:rPr>
        <w:fldChar w:fldCharType="separate"/>
      </w:r>
      <w:r>
        <w:rPr>
          <w:rFonts w:hint="eastAsia" w:ascii="Times New Roman" w:eastAsia="仿宋_GB2312"/>
          <w:color w:val="000000"/>
          <w:spacing w:val="0"/>
          <w:sz w:val="32"/>
          <w:szCs w:val="32"/>
        </w:rPr>
        <w:t>①</w:t>
      </w:r>
      <w:r>
        <w:rPr>
          <w:rFonts w:ascii="Times New Roman" w:eastAsia="仿宋_GB2312"/>
          <w:color w:val="000000"/>
          <w:spacing w:val="0"/>
          <w:sz w:val="32"/>
          <w:szCs w:val="32"/>
        </w:rPr>
        <w:fldChar w:fldCharType="end"/>
      </w:r>
      <w:r>
        <w:rPr>
          <w:rFonts w:hint="eastAsia" w:ascii="Times New Roman" w:eastAsia="仿宋_GB2312"/>
          <w:color w:val="000000"/>
          <w:spacing w:val="0"/>
          <w:sz w:val="32"/>
          <w:szCs w:val="32"/>
        </w:rPr>
        <w:t>许可产品</w:t>
      </w:r>
      <w:r>
        <w:rPr>
          <w:rFonts w:hint="eastAsia" w:ascii="Times New Roman" w:eastAsia="仿宋_GB2312"/>
          <w:color w:val="000000"/>
          <w:spacing w:val="0"/>
          <w:sz w:val="32"/>
          <w:szCs w:val="32"/>
          <w:lang w:val="en-US" w:eastAsia="zh-CN"/>
        </w:rPr>
        <w:t>净</w:t>
      </w:r>
      <w:r>
        <w:rPr>
          <w:rFonts w:hint="eastAsia" w:ascii="Times New Roman" w:eastAsia="仿宋_GB2312"/>
          <w:color w:val="000000"/>
          <w:spacing w:val="0"/>
          <w:sz w:val="32"/>
          <w:szCs w:val="32"/>
        </w:rPr>
        <w:t>销售额的</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%。本</w:t>
      </w:r>
      <w:r>
        <w:rPr>
          <w:rFonts w:hint="eastAsia" w:ascii="Times New Roman" w:eastAsia="仿宋_GB2312"/>
          <w:color w:val="000000"/>
          <w:spacing w:val="0"/>
          <w:sz w:val="32"/>
          <w:szCs w:val="32"/>
          <w:lang w:val="en-US" w:eastAsia="zh-CN"/>
        </w:rPr>
        <w:t>协议</w:t>
      </w:r>
      <w:r>
        <w:rPr>
          <w:rFonts w:hint="eastAsia" w:ascii="Times New Roman" w:eastAsia="仿宋_GB2312"/>
          <w:color w:val="000000"/>
          <w:spacing w:val="0"/>
          <w:sz w:val="32"/>
          <w:szCs w:val="32"/>
        </w:rPr>
        <w:t>所称的净销售额（“净销售额”）是指</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rPr>
        <w:t>（被许可方/被许可方及其关联方/被许可方、其关联方及其被分许可方/……）在指定时间内通过真实公平的交易向第三方销售许可产品所获得的总金额（以合法合规开具的发票金额为准），扣除以下费用：包装费、运输费、税金、广告费以及符合法律法规要求的商业折扣、</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w:t>
      </w:r>
    </w:p>
    <w:p w14:paraId="44FE713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ascii="Times New Roman" w:eastAsia="仿宋_GB2312"/>
          <w:color w:val="000000"/>
          <w:spacing w:val="0"/>
          <w:sz w:val="32"/>
          <w:szCs w:val="32"/>
        </w:rPr>
        <w:fldChar w:fldCharType="begin"/>
      </w:r>
      <w:r>
        <w:rPr>
          <w:rFonts w:ascii="Times New Roman" w:eastAsia="仿宋_GB2312"/>
          <w:color w:val="000000"/>
          <w:spacing w:val="0"/>
          <w:sz w:val="32"/>
          <w:szCs w:val="32"/>
        </w:rPr>
        <w:instrText xml:space="preserve"> </w:instrText>
      </w:r>
      <w:r>
        <w:rPr>
          <w:rFonts w:hint="eastAsia" w:ascii="Times New Roman" w:eastAsia="仿宋_GB2312"/>
          <w:color w:val="000000"/>
          <w:spacing w:val="0"/>
          <w:sz w:val="32"/>
          <w:szCs w:val="32"/>
        </w:rPr>
        <w:instrText xml:space="preserve">= 2 \* GB3</w:instrText>
      </w:r>
      <w:r>
        <w:rPr>
          <w:rFonts w:ascii="Times New Roman" w:eastAsia="仿宋_GB2312"/>
          <w:color w:val="000000"/>
          <w:spacing w:val="0"/>
          <w:sz w:val="32"/>
          <w:szCs w:val="32"/>
        </w:rPr>
        <w:instrText xml:space="preserve"> </w:instrText>
      </w:r>
      <w:r>
        <w:rPr>
          <w:rFonts w:ascii="Times New Roman" w:eastAsia="仿宋_GB2312"/>
          <w:color w:val="000000"/>
          <w:spacing w:val="0"/>
          <w:sz w:val="32"/>
          <w:szCs w:val="32"/>
        </w:rPr>
        <w:fldChar w:fldCharType="separate"/>
      </w:r>
      <w:r>
        <w:rPr>
          <w:rFonts w:hint="eastAsia" w:ascii="Times New Roman" w:eastAsia="仿宋_GB2312"/>
          <w:color w:val="000000"/>
          <w:spacing w:val="0"/>
          <w:sz w:val="32"/>
          <w:szCs w:val="32"/>
        </w:rPr>
        <w:t>②</w:t>
      </w:r>
      <w:r>
        <w:rPr>
          <w:rFonts w:ascii="Times New Roman" w:eastAsia="仿宋_GB2312"/>
          <w:color w:val="000000"/>
          <w:spacing w:val="0"/>
          <w:sz w:val="32"/>
          <w:szCs w:val="32"/>
        </w:rPr>
        <w:fldChar w:fldCharType="end"/>
      </w:r>
      <w:r>
        <w:rPr>
          <w:rFonts w:hint="eastAsia" w:ascii="Times New Roman" w:eastAsia="仿宋_GB2312"/>
          <w:color w:val="000000"/>
          <w:spacing w:val="0"/>
          <w:sz w:val="32"/>
          <w:szCs w:val="32"/>
        </w:rPr>
        <w:t>许可产品</w:t>
      </w:r>
      <w:r>
        <w:rPr>
          <w:rFonts w:hint="eastAsia" w:ascii="Times New Roman" w:eastAsia="仿宋_GB2312"/>
          <w:color w:val="000000"/>
          <w:spacing w:val="0"/>
          <w:sz w:val="32"/>
          <w:szCs w:val="32"/>
          <w:lang w:val="en-US" w:eastAsia="zh-CN"/>
        </w:rPr>
        <w:t>净</w:t>
      </w:r>
      <w:r>
        <w:rPr>
          <w:rFonts w:hint="eastAsia" w:ascii="Times New Roman" w:eastAsia="仿宋_GB2312"/>
          <w:color w:val="000000"/>
          <w:spacing w:val="0"/>
          <w:sz w:val="32"/>
          <w:szCs w:val="32"/>
        </w:rPr>
        <w:t>利润额的</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%。本</w:t>
      </w:r>
      <w:r>
        <w:rPr>
          <w:rFonts w:hint="eastAsia" w:ascii="Times New Roman" w:eastAsia="仿宋_GB2312"/>
          <w:color w:val="000000"/>
          <w:spacing w:val="0"/>
          <w:sz w:val="32"/>
          <w:szCs w:val="32"/>
          <w:lang w:val="en-US" w:eastAsia="zh-CN"/>
        </w:rPr>
        <w:t>协议</w:t>
      </w:r>
      <w:r>
        <w:rPr>
          <w:rFonts w:hint="eastAsia" w:ascii="Times New Roman" w:eastAsia="仿宋_GB2312"/>
          <w:color w:val="000000"/>
          <w:spacing w:val="0"/>
          <w:sz w:val="32"/>
          <w:szCs w:val="32"/>
        </w:rPr>
        <w:t>所称的净利润额（“净利润额”）是指</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被许可方/被许可方及其关联方/被许可方、其关联方及其被分许可方/……）在指定时间内通过真实公平的交易向第三方销售许可产品所获得的总金额（以合法合规开具的发票金额为准），扣除下述费用：包装费、运输费、税金、广告费以及符合法律法规要求的商业折扣，进一步扣除许可产品生产材料的进货成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w:t>
      </w:r>
    </w:p>
    <w:p w14:paraId="4ABE391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ascii="Times New Roman" w:eastAsia="仿宋_GB2312"/>
          <w:color w:val="000000"/>
          <w:spacing w:val="0"/>
          <w:sz w:val="32"/>
          <w:szCs w:val="32"/>
        </w:rPr>
        <w:fldChar w:fldCharType="begin"/>
      </w:r>
      <w:r>
        <w:rPr>
          <w:rFonts w:ascii="Times New Roman" w:eastAsia="仿宋_GB2312"/>
          <w:color w:val="000000"/>
          <w:spacing w:val="0"/>
          <w:sz w:val="32"/>
          <w:szCs w:val="32"/>
        </w:rPr>
        <w:instrText xml:space="preserve"> </w:instrText>
      </w:r>
      <w:r>
        <w:rPr>
          <w:rFonts w:hint="eastAsia" w:ascii="Times New Roman" w:eastAsia="仿宋_GB2312"/>
          <w:color w:val="000000"/>
          <w:spacing w:val="0"/>
          <w:sz w:val="32"/>
          <w:szCs w:val="32"/>
        </w:rPr>
        <w:instrText xml:space="preserve">= 3 \* GB3</w:instrText>
      </w:r>
      <w:r>
        <w:rPr>
          <w:rFonts w:ascii="Times New Roman" w:eastAsia="仿宋_GB2312"/>
          <w:color w:val="000000"/>
          <w:spacing w:val="0"/>
          <w:sz w:val="32"/>
          <w:szCs w:val="32"/>
        </w:rPr>
        <w:instrText xml:space="preserve"> </w:instrText>
      </w:r>
      <w:r>
        <w:rPr>
          <w:rFonts w:ascii="Times New Roman" w:eastAsia="仿宋_GB2312"/>
          <w:color w:val="000000"/>
          <w:spacing w:val="0"/>
          <w:sz w:val="32"/>
          <w:szCs w:val="32"/>
        </w:rPr>
        <w:fldChar w:fldCharType="separate"/>
      </w:r>
      <w:r>
        <w:rPr>
          <w:rFonts w:hint="eastAsia" w:ascii="Times New Roman" w:eastAsia="仿宋_GB2312"/>
          <w:color w:val="000000"/>
          <w:spacing w:val="0"/>
          <w:sz w:val="32"/>
          <w:szCs w:val="32"/>
        </w:rPr>
        <w:t>③</w:t>
      </w:r>
      <w:r>
        <w:rPr>
          <w:rFonts w:ascii="Times New Roman" w:eastAsia="仿宋_GB2312"/>
          <w:color w:val="000000"/>
          <w:spacing w:val="0"/>
          <w:sz w:val="32"/>
          <w:szCs w:val="32"/>
        </w:rPr>
        <w:fldChar w:fldCharType="end"/>
      </w:r>
      <w:r>
        <w:rPr>
          <w:rFonts w:hint="eastAsia" w:ascii="Times New Roman" w:eastAsia="仿宋_GB2312"/>
          <w:color w:val="000000"/>
          <w:spacing w:val="0"/>
          <w:sz w:val="32"/>
          <w:szCs w:val="32"/>
        </w:rPr>
        <w:t>每销售一件许可产品，许可费率为</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元</w:t>
      </w:r>
      <w:r>
        <w:rPr>
          <w:rFonts w:hint="eastAsia" w:ascii="Times New Roman" w:eastAsia="仿宋_GB2312"/>
          <w:color w:val="000000"/>
          <w:spacing w:val="0"/>
          <w:sz w:val="32"/>
          <w:szCs w:val="32"/>
          <w:lang w:val="en-US" w:eastAsia="zh-CN"/>
        </w:rPr>
        <w:t>人民币</w:t>
      </w:r>
      <w:r>
        <w:rPr>
          <w:rFonts w:hint="eastAsia" w:ascii="Times New Roman" w:eastAsia="仿宋_GB2312"/>
          <w:color w:val="000000"/>
          <w:spacing w:val="0"/>
          <w:sz w:val="32"/>
          <w:szCs w:val="32"/>
        </w:rPr>
        <w:t>。</w:t>
      </w:r>
    </w:p>
    <w:p w14:paraId="2497D2B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hAnsi="Times New Roman" w:eastAsia="仿宋_GB2312" w:cs="Times New Roman"/>
          <w:color w:val="000000"/>
          <w:spacing w:val="0"/>
          <w:sz w:val="32"/>
          <w:szCs w:val="32"/>
          <w:lang w:eastAsia="zh-CN"/>
        </w:rPr>
      </w:pPr>
      <w:r>
        <w:rPr>
          <w:rFonts w:hint="eastAsia" w:ascii="Times New Roman" w:eastAsia="仿宋_GB2312"/>
          <w:color w:val="000000"/>
          <w:spacing w:val="0"/>
          <w:sz w:val="32"/>
          <w:szCs w:val="32"/>
        </w:rPr>
        <w:t>④服务型计费：以许可产品的月度活跃用户数（MAU）或者日活跃用户数（DAU）为基础计算，每</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（月/季/年）每千名活跃用户的许可费率为</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元人民币。活跃用户的口径、统计方法与数据提供方式由双方另行约</w:t>
      </w:r>
      <w:r>
        <w:rPr>
          <w:rFonts w:hint="eastAsia" w:ascii="Times New Roman" w:hAnsi="Times New Roman" w:eastAsia="仿宋_GB2312" w:cs="Times New Roman"/>
          <w:color w:val="000000"/>
          <w:spacing w:val="0"/>
          <w:sz w:val="32"/>
          <w:szCs w:val="32"/>
        </w:rPr>
        <w:t>定，并适用本协议第三条第3款约定的</w:t>
      </w:r>
      <w:r>
        <w:rPr>
          <w:rFonts w:hint="eastAsia" w:ascii="Times New Roman" w:hAnsi="Times New Roman" w:eastAsia="仿宋_GB2312" w:cs="Times New Roman"/>
          <w:color w:val="000000"/>
          <w:spacing w:val="0"/>
          <w:sz w:val="32"/>
          <w:szCs w:val="32"/>
          <w:lang w:val="en-US" w:eastAsia="zh-CN"/>
        </w:rPr>
        <w:t>许可费</w:t>
      </w:r>
      <w:r>
        <w:rPr>
          <w:rFonts w:hint="eastAsia" w:ascii="Times New Roman" w:hAnsi="Times New Roman" w:eastAsia="仿宋_GB2312" w:cs="Times New Roman"/>
          <w:color w:val="000000"/>
          <w:spacing w:val="0"/>
          <w:sz w:val="32"/>
          <w:szCs w:val="32"/>
        </w:rPr>
        <w:t>报告与审计规则</w:t>
      </w:r>
      <w:r>
        <w:rPr>
          <w:rFonts w:hint="eastAsia" w:ascii="Times New Roman" w:eastAsia="仿宋_GB2312" w:cs="Times New Roman"/>
          <w:color w:val="000000"/>
          <w:spacing w:val="0"/>
          <w:sz w:val="32"/>
          <w:szCs w:val="32"/>
          <w:lang w:eastAsia="zh-CN"/>
        </w:rPr>
        <w:t>。</w:t>
      </w:r>
    </w:p>
    <w:p w14:paraId="244ADD5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default" w:ascii="Times New Roman" w:eastAsia="仿宋_GB2312"/>
          <w:color w:val="000000"/>
          <w:spacing w:val="0"/>
          <w:sz w:val="32"/>
          <w:szCs w:val="32"/>
          <w:lang w:val="en-US" w:eastAsia="zh-CN"/>
        </w:rPr>
      </w:pPr>
      <w:r>
        <w:rPr>
          <w:rFonts w:hint="eastAsia" w:ascii="Times New Roman" w:hAnsi="Times New Roman" w:eastAsia="仿宋_GB2312" w:cs="Times New Roman"/>
          <w:color w:val="000000"/>
          <w:spacing w:val="0"/>
          <w:sz w:val="32"/>
          <w:szCs w:val="32"/>
        </w:rPr>
        <w:t>⑤</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p>
    <w:p w14:paraId="4AEAB7B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（3）其他支付方式</w:t>
      </w:r>
    </w:p>
    <w:p w14:paraId="3C89559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u w:val="single"/>
        </w:rPr>
      </w:pPr>
      <w:r>
        <w:rPr>
          <w:rFonts w:hint="eastAsia" w:ascii="Times New Roman" w:eastAsia="仿宋_GB2312"/>
          <w:color w:val="000000"/>
          <w:spacing w:val="0"/>
          <w:sz w:val="32"/>
          <w:szCs w:val="32"/>
          <w:u w:val="single"/>
        </w:rPr>
        <w:t xml:space="preserve">                                               </w:t>
      </w:r>
    </w:p>
    <w:p w14:paraId="68F38243">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u w:val="none"/>
          <w:lang w:val="en-US" w:eastAsia="zh-CN"/>
        </w:rPr>
        <w:t xml:space="preserve">2. </w:t>
      </w:r>
      <w:r>
        <w:rPr>
          <w:rFonts w:hint="eastAsia" w:ascii="Times New Roman" w:eastAsia="仿宋_GB2312"/>
          <w:color w:val="000000"/>
          <w:spacing w:val="0"/>
          <w:sz w:val="32"/>
          <w:szCs w:val="32"/>
        </w:rPr>
        <w:t>许可费调整</w:t>
      </w:r>
      <w:r>
        <w:rPr>
          <w:rFonts w:hint="eastAsia" w:ascii="Times New Roman" w:eastAsia="仿宋_GB2312"/>
          <w:color w:val="000000"/>
          <w:spacing w:val="0"/>
          <w:sz w:val="32"/>
          <w:szCs w:val="32"/>
          <w:lang w:val="en-US" w:eastAsia="zh-CN"/>
        </w:rPr>
        <w:t>机制</w:t>
      </w:r>
    </w:p>
    <w:p w14:paraId="1D03B55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许可期限内许可专利因新增入池而增加，或者因期限届满、被宣告无效、主动放弃等原因而减少的，许可费应当相应调整。调整按照以下第</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lang w:val="en-US" w:eastAsia="zh-CN"/>
        </w:rPr>
        <w:t>种方式确定：</w:t>
      </w:r>
    </w:p>
    <w:p w14:paraId="06B09C56">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（1）按照许可专利数量的增减比例相应调整许可费，自专利增减之次月起生效。</w:t>
      </w:r>
    </w:p>
    <w:p w14:paraId="5DBB4706">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default" w:ascii="Times New Roman" w:eastAsia="仿宋_GB2312"/>
          <w:color w:val="000000"/>
          <w:spacing w:val="0"/>
          <w:sz w:val="32"/>
          <w:szCs w:val="32"/>
          <w:u w:val="single"/>
          <w:lang w:val="en-US" w:eastAsia="zh-CN"/>
        </w:rPr>
      </w:pPr>
      <w:r>
        <w:rPr>
          <w:rFonts w:hint="eastAsia" w:ascii="Times New Roman" w:eastAsia="仿宋_GB2312"/>
          <w:color w:val="000000"/>
          <w:spacing w:val="0"/>
          <w:sz w:val="32"/>
          <w:szCs w:val="32"/>
          <w:lang w:val="en-US" w:eastAsia="zh-CN"/>
        </w:rPr>
        <w:t>（2）</w:t>
      </w:r>
      <w:r>
        <w:rPr>
          <w:rFonts w:hint="eastAsia" w:ascii="Times New Roman" w:eastAsia="仿宋_GB2312"/>
          <w:color w:val="000000"/>
          <w:spacing w:val="0"/>
          <w:sz w:val="32"/>
          <w:szCs w:val="32"/>
          <w:u w:val="single"/>
          <w:lang w:val="en-US" w:eastAsia="zh-CN"/>
        </w:rPr>
        <w:t xml:space="preserve">                                          </w:t>
      </w:r>
    </w:p>
    <w:p w14:paraId="0170FBC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许可费调整不溯及既往，已经支付的许可费不再调整。</w:t>
      </w:r>
    </w:p>
    <w:p w14:paraId="31FE6DB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default"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3. 许可费报告与审计规则</w:t>
      </w:r>
    </w:p>
    <w:p w14:paraId="460749F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（1）被许可方应当在每</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lang w:val="en-US" w:eastAsia="zh-CN"/>
        </w:rPr>
        <w:t>（月/季/年）结束后</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lang w:val="en-US" w:eastAsia="zh-CN"/>
        </w:rPr>
        <w:t>日内向许可方提交许可费报告，载明许可产品的销售数量、净销售额、净利润额、活跃用户数等计算许可费所必需的数据。被许可方提交的数据应当真实、准确、完整。</w:t>
      </w:r>
    </w:p>
    <w:p w14:paraId="7F2377D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2）许可方有合理理由认为被许可方提交的数据不准确，或者被许可方存在延迟上报、虚假上报情形的，有权自行或者委托第三方审计机构对被许可方与许可费计算相关的账簿、记录和凭证进行审计，被许可方应当予以配合。</w:t>
      </w:r>
    </w:p>
    <w:p w14:paraId="594CBF5F">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（3）审计结果与许可费报告存在差异的，审计认定的应付许可费高于已付金额的，被许可方应当补足差额；低于已付金额的，许可方应当退还多收部分。少付比例超过</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lang w:val="en-US" w:eastAsia="zh-CN"/>
        </w:rPr>
        <w:t>%的，审计费用由被许可方承担；否则，由许可方承担。</w:t>
      </w:r>
    </w:p>
    <w:p w14:paraId="4154ECA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（4）被许可方延迟上报或者虚假上报的，应当自应报之日起按照日息</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lang w:val="en-US" w:eastAsia="zh-CN"/>
        </w:rPr>
        <w:t>向许可方支付违约金；虚假上报情节严重的，许可方有权解除本协议并要求被许可方赔偿损失。</w:t>
      </w:r>
    </w:p>
    <w:p w14:paraId="43EE5426">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5）审计机构对被许可方提交的数据负有保密义务。审计结果仅用于核实许可费，不得向被许可方之外的第三方（包括专利权人）披露被许可方的具体经营数据；为收益分配目的，可以披露经过汇总、脱敏后的许可费总额。</w:t>
      </w:r>
    </w:p>
    <w:p w14:paraId="16215B6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lang w:val="en-US" w:eastAsia="zh-CN"/>
        </w:rPr>
        <w:t>4</w:t>
      </w:r>
      <w:r>
        <w:rPr>
          <w:rFonts w:hint="eastAsia" w:ascii="Times New Roman" w:eastAsia="仿宋_GB2312"/>
          <w:color w:val="000000"/>
          <w:spacing w:val="0"/>
          <w:sz w:val="32"/>
          <w:szCs w:val="32"/>
        </w:rPr>
        <w:t>. 支付账号</w:t>
      </w:r>
    </w:p>
    <w:p w14:paraId="08562B0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被许可方应当按照上述支付方式将许可费支付至许可方账号或以</w:t>
      </w:r>
      <w:r>
        <w:rPr>
          <w:rFonts w:hint="eastAsia" w:ascii="Times New Roman" w:eastAsia="仿宋_GB2312"/>
          <w:color w:val="000000"/>
          <w:spacing w:val="0"/>
          <w:sz w:val="32"/>
          <w:szCs w:val="32"/>
          <w:lang w:val="en-US" w:eastAsia="zh-CN"/>
        </w:rPr>
        <w:t>其他约定方式</w:t>
      </w:r>
      <w:r>
        <w:rPr>
          <w:rFonts w:hint="eastAsia" w:ascii="Times New Roman" w:eastAsia="仿宋_GB2312"/>
          <w:color w:val="000000"/>
          <w:spacing w:val="0"/>
          <w:sz w:val="32"/>
          <w:szCs w:val="32"/>
        </w:rPr>
        <w:t>支付给许可方。许可方开户名称、开户银行和账号如下：</w:t>
      </w:r>
    </w:p>
    <w:p w14:paraId="609FEE0A">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开户名称：</w:t>
      </w:r>
      <w:r>
        <w:rPr>
          <w:rFonts w:hint="eastAsia" w:ascii="Times New Roman" w:eastAsia="仿宋_GB2312"/>
          <w:color w:val="000000"/>
          <w:spacing w:val="0"/>
          <w:sz w:val="32"/>
          <w:szCs w:val="32"/>
          <w:u w:val="single"/>
        </w:rPr>
        <w:t xml:space="preserve">                       </w:t>
      </w:r>
    </w:p>
    <w:p w14:paraId="05C91AC9">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u w:val="single"/>
        </w:rPr>
      </w:pPr>
      <w:r>
        <w:rPr>
          <w:rFonts w:hint="eastAsia" w:ascii="Times New Roman" w:eastAsia="仿宋_GB2312"/>
          <w:color w:val="000000"/>
          <w:spacing w:val="0"/>
          <w:sz w:val="32"/>
          <w:szCs w:val="32"/>
        </w:rPr>
        <w:t>开户银行：</w:t>
      </w:r>
      <w:r>
        <w:rPr>
          <w:rFonts w:hint="eastAsia" w:ascii="Times New Roman" w:eastAsia="仿宋_GB2312"/>
          <w:color w:val="000000"/>
          <w:spacing w:val="0"/>
          <w:sz w:val="32"/>
          <w:szCs w:val="32"/>
          <w:u w:val="single"/>
        </w:rPr>
        <w:t xml:space="preserve">                       </w:t>
      </w:r>
    </w:p>
    <w:p w14:paraId="3EEBBBF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u w:val="single"/>
        </w:rPr>
      </w:pPr>
      <w:r>
        <w:rPr>
          <w:rFonts w:hint="eastAsia" w:ascii="Times New Roman" w:eastAsia="仿宋_GB2312"/>
          <w:color w:val="000000"/>
          <w:spacing w:val="0"/>
          <w:sz w:val="32"/>
          <w:szCs w:val="32"/>
        </w:rPr>
        <w:t>账    号：</w:t>
      </w:r>
      <w:r>
        <w:rPr>
          <w:rFonts w:hint="eastAsia" w:ascii="Times New Roman" w:eastAsia="仿宋_GB2312"/>
          <w:color w:val="000000"/>
          <w:spacing w:val="0"/>
          <w:sz w:val="32"/>
          <w:szCs w:val="32"/>
          <w:u w:val="single"/>
        </w:rPr>
        <w:t xml:space="preserve">                       </w:t>
      </w:r>
    </w:p>
    <w:p w14:paraId="1758689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u w:val="single"/>
        </w:rPr>
      </w:pPr>
      <w:r>
        <w:rPr>
          <w:rFonts w:hint="eastAsia" w:ascii="Times New Roman" w:eastAsia="仿宋_GB2312"/>
          <w:color w:val="000000"/>
          <w:spacing w:val="0"/>
          <w:sz w:val="32"/>
          <w:szCs w:val="32"/>
        </w:rPr>
        <w:t>许可方变更收款账户信息的，应提前</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日书面通知被许可方。因许可方未及时通知变更导致许可费支付错误的，由许可方自行承担相应损失。</w:t>
      </w:r>
    </w:p>
    <w:bookmarkEnd w:id="4"/>
    <w:p w14:paraId="686062B7">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仿宋_GB2312" w:hAnsi="宋体" w:eastAsia="仿宋_GB2312"/>
          <w:sz w:val="32"/>
          <w:szCs w:val="32"/>
        </w:rPr>
      </w:pPr>
      <w:r>
        <w:rPr>
          <w:rFonts w:hint="eastAsia" w:ascii="黑体" w:hAnsi="黑体" w:eastAsia="黑体"/>
          <w:bCs/>
          <w:sz w:val="32"/>
          <w:szCs w:val="32"/>
        </w:rPr>
        <w:t>第四条  保密义务</w:t>
      </w:r>
    </w:p>
    <w:p w14:paraId="1D81A08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 本协议项下的保密信息（“保密信息”）是指一方（以下简称“披露方”）以口头、书面或其他方式直接或间接向另一方（以下简称“接收方”）披露的所有信息；该信息包括但不限于本协议各条款的具体内容、本协议的签署及履行情况（不包括经双方协商同意后通过专利实施许可协议备案等方式所公开的信息）以及披露方所披露的技术资料和</w:t>
      </w:r>
      <w:r>
        <w:rPr>
          <w:rFonts w:hint="eastAsia" w:ascii="Times New Roman" w:eastAsia="仿宋_GB2312"/>
          <w:color w:val="000000"/>
          <w:spacing w:val="0"/>
          <w:sz w:val="32"/>
          <w:szCs w:val="32"/>
          <w:lang w:eastAsia="zh-CN"/>
        </w:rPr>
        <w:t>其他</w:t>
      </w:r>
      <w:r>
        <w:rPr>
          <w:rFonts w:hint="eastAsia" w:ascii="Times New Roman" w:eastAsia="仿宋_GB2312"/>
          <w:color w:val="000000"/>
          <w:spacing w:val="0"/>
          <w:sz w:val="32"/>
          <w:szCs w:val="32"/>
        </w:rPr>
        <w:t>与财务、商业、业务、运营或技术相关的非公开信息。</w:t>
      </w:r>
    </w:p>
    <w:p w14:paraId="31148D5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保密信息不包括：</w:t>
      </w:r>
    </w:p>
    <w:p w14:paraId="7A5F413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lang w:val="en-US" w:eastAsia="zh-CN"/>
        </w:rPr>
        <w:t>1</w:t>
      </w: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rPr>
        <w:t>非因接收方的披露而为公众所知的信息；</w:t>
      </w:r>
    </w:p>
    <w:p w14:paraId="1483F6AA">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lang w:val="en-US" w:eastAsia="zh-CN"/>
        </w:rPr>
        <w:t>2</w:t>
      </w: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rPr>
        <w:t>在披露方披露以前，已为接收方正当知晓的信息；</w:t>
      </w:r>
    </w:p>
    <w:p w14:paraId="5862841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lang w:val="en-US" w:eastAsia="zh-CN"/>
        </w:rPr>
        <w:t>3</w:t>
      </w: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rPr>
        <w:t>接收方从第三方处合法获取的信息，且不违反任何保密限制或保密义务；</w:t>
      </w:r>
    </w:p>
    <w:p w14:paraId="6E8F70D4">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eastAsia="zh-CN"/>
        </w:rPr>
      </w:pP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lang w:val="en-US" w:eastAsia="zh-CN"/>
        </w:rPr>
        <w:t>4</w:t>
      </w: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rPr>
        <w:t>由接收方独立形成而未使用任何保密信息或者违反接收方在本协议项下任何义务的信息</w:t>
      </w:r>
      <w:r>
        <w:rPr>
          <w:rFonts w:hint="eastAsia" w:ascii="Times New Roman" w:eastAsia="仿宋_GB2312"/>
          <w:color w:val="000000"/>
          <w:spacing w:val="0"/>
          <w:sz w:val="32"/>
          <w:szCs w:val="32"/>
          <w:lang w:eastAsia="zh-CN"/>
        </w:rPr>
        <w:t>；</w:t>
      </w:r>
    </w:p>
    <w:p w14:paraId="0A62FAAC">
      <w:pPr>
        <w:keepNext w:val="0"/>
        <w:keepLines w:val="0"/>
        <w:pageBreakBefore w:val="0"/>
        <w:kinsoku/>
        <w:wordWrap w:val="0"/>
        <w:overflowPunct/>
        <w:topLinePunct w:val="0"/>
        <w:autoSpaceDE/>
        <w:autoSpaceDN/>
        <w:bidi w:val="0"/>
        <w:spacing w:after="0" w:line="560" w:lineRule="exact"/>
        <w:ind w:firstLine="664" w:firstLineChars="200"/>
        <w:jc w:val="both"/>
        <w:textAlignment w:val="auto"/>
        <w:rPr>
          <w:rFonts w:hint="eastAsia" w:ascii="Times New Roman" w:eastAsia="仿宋_GB2312"/>
          <w:color w:val="000000"/>
          <w:sz w:val="32"/>
          <w:szCs w:val="32"/>
        </w:rPr>
      </w:pPr>
      <w:r>
        <w:rPr>
          <w:rFonts w:hint="eastAsia" w:ascii="Times New Roman" w:eastAsia="仿宋_GB2312"/>
          <w:color w:val="000000"/>
          <w:sz w:val="32"/>
          <w:szCs w:val="32"/>
          <w:u w:val="none"/>
          <w:lang w:eastAsia="zh-CN"/>
        </w:rPr>
        <w:t>（</w:t>
      </w:r>
      <w:r>
        <w:rPr>
          <w:rFonts w:hint="eastAsia" w:ascii="Times New Roman" w:eastAsia="仿宋_GB2312"/>
          <w:color w:val="000000"/>
          <w:sz w:val="32"/>
          <w:szCs w:val="32"/>
          <w:u w:val="none"/>
          <w:lang w:val="en-US" w:eastAsia="zh-CN"/>
        </w:rPr>
        <w:t>5</w:t>
      </w:r>
      <w:r>
        <w:rPr>
          <w:rFonts w:hint="eastAsia" w:ascii="Times New Roman" w:eastAsia="仿宋_GB2312"/>
          <w:color w:val="000000"/>
          <w:sz w:val="32"/>
          <w:szCs w:val="32"/>
          <w:u w:val="none"/>
          <w:lang w:eastAsia="zh-CN"/>
        </w:rPr>
        <w:t>）</w:t>
      </w:r>
      <w:r>
        <w:rPr>
          <w:rFonts w:hint="eastAsia" w:ascii="Times New Roman" w:eastAsia="仿宋_GB2312"/>
          <w:color w:val="000000"/>
          <w:sz w:val="32"/>
          <w:szCs w:val="32"/>
          <w:u w:val="single"/>
        </w:rPr>
        <w:t xml:space="preserve">                                 </w:t>
      </w:r>
      <w:r>
        <w:rPr>
          <w:rFonts w:hint="eastAsia" w:ascii="Times New Roman" w:eastAsia="仿宋_GB2312"/>
          <w:color w:val="000000"/>
          <w:sz w:val="32"/>
          <w:szCs w:val="32"/>
          <w:u w:val="single"/>
          <w:lang w:val="en-US" w:eastAsia="zh-CN"/>
        </w:rPr>
        <w:t xml:space="preserve">       </w:t>
      </w:r>
    </w:p>
    <w:p w14:paraId="18ACD8B1">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 除非获得披露方事先书面同意或本协议另有约定，接收方应严守披露方的保密信息，并采取一切必</w:t>
      </w:r>
      <w:r>
        <w:rPr>
          <w:rFonts w:hint="eastAsia" w:ascii="Times New Roman" w:eastAsia="仿宋_GB2312"/>
          <w:color w:val="000000"/>
          <w:spacing w:val="0"/>
          <w:sz w:val="32"/>
          <w:szCs w:val="32"/>
          <w:lang w:eastAsia="zh-CN"/>
        </w:rPr>
        <w:t>要的</w:t>
      </w:r>
      <w:r>
        <w:rPr>
          <w:rFonts w:hint="eastAsia" w:ascii="Times New Roman" w:eastAsia="仿宋_GB2312"/>
          <w:color w:val="000000"/>
          <w:spacing w:val="0"/>
          <w:sz w:val="32"/>
          <w:szCs w:val="32"/>
        </w:rPr>
        <w:t>保密措施和保密制度予以保护；接收方只能为履行本协议规定的其义务或行使本协议规定的其权利而使用任何该等保密信息；接收方不得向任何接收方之外的第三方披露或泄露本协议项下的保密信息。</w:t>
      </w:r>
    </w:p>
    <w:p w14:paraId="7B15FB5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3. 接收方只能在履行本协议规定的其义务和行使本协议规定的其权利的必要范围内，向</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（关联方/雇员/董事/代理/承包商/咨询人/顾问/……）仅在需要知道的范围内披露披露方的保密信息，上述人员必须与接收方签订保密协议，并遵守与本条规定相符的保密和不使用义务。</w:t>
      </w:r>
    </w:p>
    <w:p w14:paraId="0CD1194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4. 本协议执行完毕或因故终止、变更的，接收方应立即将披露方的所有保密信息归还披露方或销毁。同时，接收方应向披露方提供由接收方授权代表签署的关于返还或销毁的书面证明。</w:t>
      </w:r>
    </w:p>
    <w:p w14:paraId="0E7DBB7A">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lang w:val="en-US" w:eastAsia="zh-CN"/>
        </w:rPr>
        <w:t>5.</w:t>
      </w:r>
      <w:r>
        <w:rPr>
          <w:rFonts w:hint="eastAsia" w:ascii="Times New Roman" w:eastAsia="仿宋_GB2312"/>
          <w:color w:val="000000"/>
          <w:spacing w:val="0"/>
          <w:sz w:val="32"/>
          <w:szCs w:val="32"/>
        </w:rPr>
        <w:t xml:space="preserve"> 信息隔离：被许可方向许可方提供的销售额、净利润、产量、活跃用户数、客户等经营数据和财务数据，仅限许可方为运营管理专利池之目的知悉和使用；未经被许可方书面同意，许可方不得向专利权人或者专利池其他成员披露，但政府机关、司法机关依法要求提供的除外。许可方向专利权人提供运营报告时，涉及</w:t>
      </w:r>
      <w:r>
        <w:rPr>
          <w:rFonts w:hint="eastAsia" w:ascii="Times New Roman" w:eastAsia="仿宋_GB2312"/>
          <w:color w:val="000000"/>
          <w:spacing w:val="0"/>
          <w:sz w:val="32"/>
          <w:szCs w:val="32"/>
          <w:lang w:val="en-US" w:eastAsia="zh-CN"/>
        </w:rPr>
        <w:t>上述</w:t>
      </w:r>
      <w:r>
        <w:rPr>
          <w:rFonts w:hint="eastAsia" w:ascii="Times New Roman" w:eastAsia="仿宋_GB2312"/>
          <w:color w:val="000000"/>
          <w:spacing w:val="0"/>
          <w:sz w:val="32"/>
          <w:szCs w:val="32"/>
        </w:rPr>
        <w:t>数据的，应当作脱敏处理。</w:t>
      </w:r>
    </w:p>
    <w:p w14:paraId="585D9A16">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lang w:val="en-US" w:eastAsia="zh-CN"/>
        </w:rPr>
        <w:t>6</w:t>
      </w:r>
      <w:r>
        <w:rPr>
          <w:rFonts w:hint="eastAsia" w:ascii="Times New Roman" w:eastAsia="仿宋_GB2312"/>
          <w:color w:val="000000"/>
          <w:spacing w:val="0"/>
          <w:sz w:val="32"/>
          <w:szCs w:val="32"/>
        </w:rPr>
        <w:t>. 本保密条款的效力以以下第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种方式确定（单选）：</w:t>
      </w:r>
    </w:p>
    <w:p w14:paraId="20C11EA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（1）本保密条款自本</w:t>
      </w:r>
      <w:r>
        <w:rPr>
          <w:rFonts w:hint="eastAsia" w:ascii="仿宋_GB2312" w:hAnsi="黑体" w:eastAsia="仿宋_GB2312"/>
          <w:sz w:val="32"/>
          <w:szCs w:val="32"/>
          <w:lang w:val="en-US" w:eastAsia="zh-CN"/>
        </w:rPr>
        <w:t>协议</w:t>
      </w:r>
      <w:r>
        <w:rPr>
          <w:rFonts w:hint="eastAsia" w:ascii="Times New Roman" w:eastAsia="仿宋_GB2312"/>
          <w:color w:val="000000"/>
          <w:spacing w:val="0"/>
          <w:sz w:val="32"/>
          <w:szCs w:val="32"/>
        </w:rPr>
        <w:t>生效后</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日内有效。</w:t>
      </w:r>
    </w:p>
    <w:p w14:paraId="4816B53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（2）本保密条款在本</w:t>
      </w:r>
      <w:r>
        <w:rPr>
          <w:rFonts w:hint="eastAsia" w:ascii="仿宋_GB2312" w:hAnsi="黑体" w:eastAsia="仿宋_GB2312"/>
          <w:sz w:val="32"/>
          <w:szCs w:val="32"/>
          <w:lang w:val="en-US" w:eastAsia="zh-CN"/>
        </w:rPr>
        <w:t>协议</w:t>
      </w:r>
      <w:r>
        <w:rPr>
          <w:rFonts w:hint="eastAsia" w:ascii="Times New Roman" w:eastAsia="仿宋_GB2312"/>
          <w:color w:val="000000"/>
          <w:spacing w:val="0"/>
          <w:sz w:val="32"/>
          <w:szCs w:val="32"/>
        </w:rPr>
        <w:t>执行完毕或终止后持续有效。</w:t>
      </w:r>
    </w:p>
    <w:p w14:paraId="3DCAC970">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w:t>
      </w:r>
      <w:r>
        <w:rPr>
          <w:rFonts w:ascii="Times New Roman" w:eastAsia="仿宋_GB2312"/>
          <w:color w:val="000000"/>
          <w:spacing w:val="0"/>
          <w:sz w:val="32"/>
          <w:szCs w:val="32"/>
        </w:rPr>
        <w:t>3</w:t>
      </w:r>
      <w:r>
        <w:rPr>
          <w:rFonts w:hint="eastAsia" w:ascii="Times New Roman" w:eastAsia="仿宋_GB2312"/>
          <w:color w:val="000000"/>
          <w:spacing w:val="0"/>
          <w:sz w:val="32"/>
          <w:szCs w:val="32"/>
        </w:rPr>
        <w:t>）</w:t>
      </w:r>
      <w:r>
        <w:rPr>
          <w:rFonts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rPr>
        <w:t xml:space="preserve">  </w:t>
      </w:r>
    </w:p>
    <w:p w14:paraId="406F1A1D">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宋体" w:hAnsi="宋体" w:eastAsia="宋体"/>
          <w:sz w:val="28"/>
          <w:szCs w:val="28"/>
        </w:rPr>
      </w:pPr>
      <w:r>
        <w:rPr>
          <w:rFonts w:hint="eastAsia" w:ascii="黑体" w:hAnsi="黑体" w:eastAsia="黑体"/>
          <w:bCs/>
          <w:sz w:val="32"/>
          <w:szCs w:val="32"/>
        </w:rPr>
        <w:t>第五条  后续改进成果的回授</w:t>
      </w:r>
    </w:p>
    <w:p w14:paraId="0E947C48">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被许可方有权在许可专利的基础上后续改进，由此产生的技术成果在本</w:t>
      </w:r>
      <w:r>
        <w:rPr>
          <w:rFonts w:hint="eastAsia" w:ascii="仿宋_GB2312" w:hAnsi="黑体" w:eastAsia="仿宋_GB2312"/>
          <w:sz w:val="32"/>
          <w:szCs w:val="32"/>
          <w:lang w:val="en-US" w:eastAsia="zh-CN"/>
        </w:rPr>
        <w:t>协议</w:t>
      </w:r>
      <w:r>
        <w:rPr>
          <w:rFonts w:hint="eastAsia" w:ascii="Times New Roman" w:eastAsia="仿宋_GB2312"/>
          <w:color w:val="000000"/>
          <w:spacing w:val="0"/>
          <w:sz w:val="32"/>
          <w:szCs w:val="32"/>
        </w:rPr>
        <w:t>中称为“改进成果”，双方可就改进成果按以下第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项的约定处理（可多选）：</w:t>
      </w:r>
    </w:p>
    <w:p w14:paraId="4E4135F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（1）被许可方</w:t>
      </w:r>
      <w:r>
        <w:rPr>
          <w:rFonts w:hint="eastAsia" w:ascii="Times New Roman" w:eastAsia="仿宋_GB2312"/>
          <w:color w:val="000000"/>
          <w:spacing w:val="0"/>
          <w:sz w:val="32"/>
          <w:szCs w:val="32"/>
          <w:lang w:val="en-US" w:eastAsia="zh-CN"/>
        </w:rPr>
        <w:t>可</w:t>
      </w:r>
      <w:r>
        <w:rPr>
          <w:rFonts w:hint="eastAsia" w:ascii="Times New Roman" w:eastAsia="仿宋_GB2312"/>
          <w:color w:val="000000"/>
          <w:spacing w:val="0"/>
          <w:sz w:val="32"/>
          <w:szCs w:val="32"/>
        </w:rPr>
        <w:t>在改进成果完成后</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日内通知许可方。</w:t>
      </w:r>
    </w:p>
    <w:p w14:paraId="371D4E71">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lang w:eastAsia="zh-CN"/>
        </w:rPr>
      </w:pPr>
      <w:r>
        <w:rPr>
          <w:rFonts w:hint="eastAsia" w:ascii="Times New Roman" w:eastAsia="仿宋_GB2312"/>
          <w:color w:val="000000"/>
          <w:spacing w:val="0"/>
          <w:sz w:val="32"/>
          <w:szCs w:val="32"/>
        </w:rPr>
        <w:t>（2）对于被许可方单独完成的改进成果，包括申请权在内的所有权益由被许可方单独享有。许可方不得强制要求被许可方将改进成果排他性或者独占性地回授；双方可以协商约定被许可方向专利池进行非独占性、有偿的回授，或者就改进成果进行交叉许可，回授与交叉许可的具体条件由双方另行书面约定</w:t>
      </w:r>
      <w:r>
        <w:rPr>
          <w:rFonts w:hint="eastAsia" w:ascii="Times New Roman" w:eastAsia="仿宋_GB2312"/>
          <w:color w:val="000000"/>
          <w:spacing w:val="0"/>
          <w:sz w:val="32"/>
          <w:szCs w:val="32"/>
          <w:lang w:eastAsia="zh-CN"/>
        </w:rPr>
        <w:t>。</w:t>
      </w:r>
    </w:p>
    <w:p w14:paraId="7ECECF91">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u w:val="single"/>
          <w:lang w:val="en-US" w:eastAsia="zh-CN"/>
        </w:rPr>
      </w:pPr>
      <w:r>
        <w:rPr>
          <w:rFonts w:hint="eastAsia" w:ascii="Times New Roman" w:eastAsia="仿宋_GB2312"/>
          <w:color w:val="000000"/>
          <w:spacing w:val="0"/>
          <w:sz w:val="32"/>
          <w:szCs w:val="32"/>
        </w:rPr>
        <w:t>（3）许可方不得以被许可方不接受回授或者交叉许可为条件，限制被许可方取得或者维持本协议项下的许可</w:t>
      </w:r>
      <w:r>
        <w:rPr>
          <w:rFonts w:hint="eastAsia" w:ascii="Times New Roman" w:eastAsia="仿宋_GB2312"/>
          <w:color w:val="000000"/>
          <w:spacing w:val="0"/>
          <w:sz w:val="32"/>
          <w:szCs w:val="32"/>
          <w:lang w:eastAsia="zh-CN"/>
        </w:rPr>
        <w:t>。</w:t>
      </w:r>
    </w:p>
    <w:p w14:paraId="4AFE99D0">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default" w:ascii="Times New Roman" w:eastAsia="仿宋_GB2312"/>
          <w:color w:val="000000"/>
          <w:spacing w:val="0"/>
          <w:sz w:val="32"/>
          <w:szCs w:val="32"/>
          <w:lang w:val="en-US" w:eastAsia="zh-CN"/>
        </w:rPr>
      </w:pPr>
      <w:r>
        <w:rPr>
          <w:rFonts w:hint="eastAsia" w:ascii="Times New Roman" w:eastAsia="仿宋_GB2312"/>
          <w:color w:val="000000"/>
          <w:spacing w:val="0"/>
          <w:sz w:val="32"/>
          <w:szCs w:val="32"/>
        </w:rPr>
        <w:t>（</w:t>
      </w:r>
      <w:r>
        <w:rPr>
          <w:rFonts w:hint="eastAsia" w:ascii="Times New Roman" w:eastAsia="仿宋_GB2312"/>
          <w:color w:val="000000"/>
          <w:spacing w:val="0"/>
          <w:sz w:val="32"/>
          <w:szCs w:val="32"/>
          <w:lang w:val="en-US" w:eastAsia="zh-CN"/>
        </w:rPr>
        <w:t>4</w:t>
      </w:r>
      <w:r>
        <w:rPr>
          <w:rFonts w:hint="eastAsia" w:ascii="Times New Roman" w:eastAsia="仿宋_GB2312"/>
          <w:color w:val="000000"/>
          <w:spacing w:val="0"/>
          <w:sz w:val="32"/>
          <w:szCs w:val="32"/>
        </w:rPr>
        <w:t>）其他</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p>
    <w:p w14:paraId="5064B57F">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宋体" w:hAnsi="宋体" w:eastAsia="宋体"/>
          <w:sz w:val="28"/>
          <w:szCs w:val="28"/>
        </w:rPr>
      </w:pPr>
      <w:r>
        <w:rPr>
          <w:rFonts w:hint="eastAsia" w:ascii="黑体" w:hAnsi="黑体" w:eastAsia="黑体"/>
          <w:bCs/>
          <w:sz w:val="32"/>
          <w:szCs w:val="32"/>
        </w:rPr>
        <w:t>第六条  陈述与保证</w:t>
      </w:r>
    </w:p>
    <w:p w14:paraId="675DD1A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bookmarkStart w:id="5" w:name="_Hlk194592746"/>
      <w:r>
        <w:rPr>
          <w:rFonts w:hint="eastAsia" w:ascii="Times New Roman" w:eastAsia="仿宋_GB2312"/>
          <w:color w:val="000000"/>
          <w:spacing w:val="0"/>
          <w:sz w:val="32"/>
          <w:szCs w:val="32"/>
        </w:rPr>
        <w:t>1. 许可方特此作出以下所示的陈述与保证：</w:t>
      </w:r>
    </w:p>
    <w:p w14:paraId="0A59995A">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（1）截至本协议签署日，许可方已获得相关专利权人合法有效授权，并有权在授权范围内签署及履行本协议。许可方应根据被许可方合理要求提供授权证明。</w:t>
      </w:r>
    </w:p>
    <w:p w14:paraId="6972A9E5">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（2）许可专利不附带将会影响或限制本协议项下的许可方许可的任何权利负担，且不存在与任何第三方签订</w:t>
      </w:r>
      <w:r>
        <w:rPr>
          <w:rFonts w:hint="eastAsia" w:ascii="Times New Roman" w:eastAsia="仿宋_GB2312"/>
          <w:color w:val="000000"/>
          <w:spacing w:val="0"/>
          <w:sz w:val="32"/>
          <w:szCs w:val="32"/>
          <w:lang w:val="en-US" w:eastAsia="zh-CN"/>
        </w:rPr>
        <w:t>的</w:t>
      </w:r>
      <w:r>
        <w:rPr>
          <w:rFonts w:hint="eastAsia" w:ascii="Times New Roman" w:eastAsia="仿宋_GB2312"/>
          <w:color w:val="000000"/>
          <w:spacing w:val="0"/>
          <w:sz w:val="32"/>
          <w:szCs w:val="32"/>
        </w:rPr>
        <w:t>影响或限制其在本协议项下许可</w:t>
      </w:r>
      <w:r>
        <w:rPr>
          <w:rFonts w:hint="eastAsia" w:ascii="Times New Roman" w:eastAsia="仿宋_GB2312"/>
          <w:color w:val="000000"/>
          <w:spacing w:val="0"/>
          <w:sz w:val="32"/>
          <w:szCs w:val="32"/>
          <w:lang w:val="en-US" w:eastAsia="zh-CN"/>
        </w:rPr>
        <w:t>的合同或者安排</w:t>
      </w:r>
      <w:r>
        <w:rPr>
          <w:rFonts w:hint="eastAsia" w:ascii="Times New Roman" w:eastAsia="仿宋_GB2312"/>
          <w:color w:val="000000"/>
          <w:spacing w:val="0"/>
          <w:sz w:val="32"/>
          <w:szCs w:val="32"/>
        </w:rPr>
        <w:t>。</w:t>
      </w:r>
    </w:p>
    <w:p w14:paraId="6337E2B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（3）许可方并未收到有关任何主张、起诉、诉讼或法律程序的通知或威胁，并未知晓或有理由知晓任何信息，</w:t>
      </w:r>
      <w:r>
        <w:rPr>
          <w:rFonts w:hint="eastAsia" w:ascii="Times New Roman" w:eastAsia="仿宋_GB2312"/>
          <w:color w:val="000000"/>
          <w:spacing w:val="0"/>
          <w:sz w:val="32"/>
          <w:szCs w:val="32"/>
          <w:lang w:val="en-US" w:eastAsia="zh-CN"/>
        </w:rPr>
        <w:t>该信息</w:t>
      </w:r>
      <w:r>
        <w:rPr>
          <w:rFonts w:hint="eastAsia" w:ascii="Times New Roman" w:eastAsia="仿宋_GB2312"/>
          <w:color w:val="000000"/>
          <w:spacing w:val="0"/>
          <w:sz w:val="32"/>
          <w:szCs w:val="32"/>
        </w:rPr>
        <w:t>将会：导致许可专利的任何权利要求无效或不可执行；或导致许可专利中的任何专利申请的任何权利要求未能被授予或与其目前申请的范围相比受到严重限制或局限；或导致被许可方根据本协议对许可专利的实施侵犯第三人的合法权利。</w:t>
      </w:r>
    </w:p>
    <w:p w14:paraId="3C89D3E3">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（4）本协议签署后，若第三方针对许可专利的实施提出任何侵权控诉，许可方应当协助被许可方参与应诉和抗辩，尽量帮助许可专利技术实施不受影响。</w:t>
      </w:r>
    </w:p>
    <w:p w14:paraId="695ABDD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5）在本协议有效期间，许可方应当尽合理努力维持许可专利的有效性，包括按时缴纳专利年费、积极应对无效宣告程序等。许可专利因第三方原因或者其他不可归责于许可方的原因被宣告无效的，许可方不承担相应责任。</w:t>
      </w:r>
    </w:p>
    <w:p w14:paraId="31E0E405">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（6）被许可方应自行对实施本协议许可的专利进行侵权风险评估。除许可方违反本条</w:t>
      </w:r>
      <w:r>
        <w:rPr>
          <w:rFonts w:hint="eastAsia" w:ascii="Times New Roman" w:eastAsia="仿宋_GB2312"/>
          <w:color w:val="000000"/>
          <w:spacing w:val="0"/>
          <w:sz w:val="32"/>
          <w:szCs w:val="32"/>
          <w:lang w:val="en-US" w:eastAsia="zh-CN"/>
        </w:rPr>
        <w:t>第1款</w:t>
      </w:r>
      <w:r>
        <w:rPr>
          <w:rFonts w:hint="eastAsia" w:ascii="Times New Roman" w:eastAsia="仿宋_GB2312"/>
          <w:color w:val="000000"/>
          <w:spacing w:val="0"/>
          <w:sz w:val="32"/>
          <w:szCs w:val="32"/>
        </w:rPr>
        <w:t>第（1）至（3）项保证的情形外，许可方不对第三方指控被许可方实施的技术侵权的行为承担责任。</w:t>
      </w:r>
    </w:p>
    <w:p w14:paraId="2E28B3F4">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u w:val="single"/>
        </w:rPr>
      </w:pPr>
      <w:r>
        <w:rPr>
          <w:rFonts w:hint="eastAsia" w:ascii="Times New Roman" w:eastAsia="仿宋_GB2312"/>
          <w:color w:val="000000"/>
          <w:spacing w:val="0"/>
          <w:sz w:val="32"/>
          <w:szCs w:val="32"/>
        </w:rPr>
        <w:t>（7）</w:t>
      </w:r>
      <w:r>
        <w:rPr>
          <w:rFonts w:hint="eastAsia" w:ascii="Times New Roman" w:eastAsia="仿宋_GB2312"/>
          <w:color w:val="000000"/>
          <w:spacing w:val="0"/>
          <w:sz w:val="32"/>
          <w:szCs w:val="32"/>
          <w:u w:val="single"/>
        </w:rPr>
        <w:t xml:space="preserve">                                          </w:t>
      </w:r>
    </w:p>
    <w:p w14:paraId="1AC9F93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 被许可方特此作出以下第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项所示的陈述与保证（可多选）：</w:t>
      </w:r>
    </w:p>
    <w:p w14:paraId="0A0B8130">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（1）在本协议有效期内，被许可方有权根据本协议约定实施许可专利。</w:t>
      </w:r>
    </w:p>
    <w:p w14:paraId="52A24920">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（2）如双方决定备案的，被许可方积极配合许可方完成本协议的备案。</w:t>
      </w:r>
    </w:p>
    <w:p w14:paraId="7D84093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（3）</w:t>
      </w:r>
      <w:r>
        <w:rPr>
          <w:rFonts w:hint="eastAsia" w:ascii="Times New Roman" w:eastAsia="仿宋_GB2312"/>
          <w:color w:val="000000"/>
          <w:spacing w:val="0"/>
          <w:sz w:val="32"/>
          <w:szCs w:val="32"/>
          <w:u w:val="single"/>
        </w:rPr>
        <w:t xml:space="preserve">                                         </w:t>
      </w:r>
    </w:p>
    <w:bookmarkEnd w:id="5"/>
    <w:p w14:paraId="2B5EC16C">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宋体" w:hAnsi="宋体" w:eastAsia="宋体"/>
          <w:sz w:val="28"/>
          <w:szCs w:val="28"/>
        </w:rPr>
      </w:pPr>
      <w:r>
        <w:rPr>
          <w:rFonts w:hint="eastAsia" w:ascii="黑体" w:hAnsi="黑体" w:eastAsia="黑体"/>
          <w:bCs/>
          <w:sz w:val="32"/>
          <w:szCs w:val="32"/>
        </w:rPr>
        <w:t>第七条  侵权应对及共同维权</w:t>
      </w:r>
    </w:p>
    <w:p w14:paraId="1EA6976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bookmarkStart w:id="6" w:name="_Hlk194592687"/>
      <w:r>
        <w:rPr>
          <w:rFonts w:hint="eastAsia" w:ascii="Times New Roman" w:eastAsia="仿宋_GB2312"/>
          <w:color w:val="000000"/>
          <w:spacing w:val="0"/>
          <w:sz w:val="32"/>
          <w:szCs w:val="32"/>
        </w:rPr>
        <w:t>1. 如果有第三方针对许可专利的实施提出任何侵权控诉的，首先得到通知的一方，应在收到通知后</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日内通知另一方，双方同意按照以下第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项的约定处理（单选）：</w:t>
      </w:r>
    </w:p>
    <w:p w14:paraId="2A9845B9">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（1）双方对共同应诉事宜不作约定，各自保留应诉的全部法定权利。</w:t>
      </w:r>
    </w:p>
    <w:p w14:paraId="079CB56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（2）双方应当在后得到通知的一方收到通知后</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日内，另行协商具体应诉事宜。</w:t>
      </w:r>
    </w:p>
    <w:p w14:paraId="6835DD1D">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（3）由</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（许可方/被许可方）（“主要应诉方”）承担应诉相关费用，应诉具体方案以主要应诉方的意见为准，但</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（被许可方/许可方）（“协助应诉方”）应提供必要协助。对于因协助应诉方未经主要应诉方书面同意而进行抗辩或和解而被要求支付的任何费用和损失，主要应诉方不予承担。但主要应诉方在接到通知后</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日内不作应诉表示或放弃应诉的，协助应诉方有权自行承担费用参与应诉并不受本项限制。</w:t>
      </w:r>
    </w:p>
    <w:p w14:paraId="67FE6524">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u w:val="single"/>
        </w:rPr>
      </w:pPr>
      <w:r>
        <w:rPr>
          <w:rFonts w:hint="eastAsia" w:ascii="Times New Roman" w:eastAsia="仿宋_GB2312"/>
          <w:color w:val="000000"/>
          <w:spacing w:val="0"/>
          <w:sz w:val="32"/>
          <w:szCs w:val="32"/>
        </w:rPr>
        <w:t>（4）</w:t>
      </w:r>
      <w:r>
        <w:rPr>
          <w:rFonts w:hint="eastAsia" w:ascii="Times New Roman" w:eastAsia="仿宋_GB2312"/>
          <w:color w:val="000000"/>
          <w:spacing w:val="0"/>
          <w:sz w:val="32"/>
          <w:szCs w:val="32"/>
          <w:u w:val="single"/>
        </w:rPr>
        <w:t xml:space="preserve">                                         </w:t>
      </w:r>
    </w:p>
    <w:p w14:paraId="287AAF09">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 如果一方得知第三方涉嫌侵犯任何许可专利，应在收到通知后</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rPr>
        <w:t>日内通知另一方，双方同意按照以下第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项的约定处理（单选）：</w:t>
      </w:r>
    </w:p>
    <w:p w14:paraId="466524F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（1）由许可方与侵权方进行交涉，或负责向管理专利工作的部门提出请求或向人民法院提起诉讼，被许可方应当予以协助。</w:t>
      </w:r>
    </w:p>
    <w:p w14:paraId="75B55A46">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由许可方在其合理确定的期限内，与侵权方进行交涉，或负责向管理专利工作的部门提出请求或向人民法院提起诉讼。上述期限届满，被许可方有权在许可方合理确定的范围内，与侵权方交涉，或负责向管理专利工作的部门提出请求或向人民法院提起诉讼。</w:t>
      </w:r>
    </w:p>
    <w:p w14:paraId="279D01B4">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3）被许可方有权首先在许可方合理确定的范围内，与侵权方进行交涉，或负责向管理专利工作的部门提出请求或向人民法院提起诉讼，而许可方有权由其律师代理其参与该等程序。如果被许可方以书面形式通知许可方其不会提起该等程序，则许可方有权在与被许可方协商后，在其合理确定的范围内，与侵权方进行交涉，或负责向管理专利工作的部门提出请求或向人民法院提起诉讼。</w:t>
      </w:r>
    </w:p>
    <w:p w14:paraId="292F94C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（4）</w:t>
      </w:r>
      <w:r>
        <w:rPr>
          <w:rFonts w:hint="eastAsia" w:ascii="Times New Roman" w:eastAsia="仿宋_GB2312"/>
          <w:color w:val="000000"/>
          <w:spacing w:val="0"/>
          <w:sz w:val="32"/>
          <w:szCs w:val="32"/>
          <w:u w:val="single"/>
        </w:rPr>
        <w:t xml:space="preserve">                                         </w:t>
      </w:r>
    </w:p>
    <w:p w14:paraId="0DE55ED4">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rPr>
        <w:t>3. 维权所得收益由</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（许可方单独/被许可方单独/双方共同/……）享有，所发生的费用由</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（许可方单独/被许可方单独/双方共同/……）承担。</w:t>
      </w:r>
    </w:p>
    <w:p w14:paraId="661B783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Times New Roman" w:eastAsia="仿宋_GB2312"/>
          <w:color w:val="000000"/>
          <w:spacing w:val="0"/>
          <w:sz w:val="32"/>
          <w:szCs w:val="32"/>
        </w:rPr>
      </w:pPr>
      <w:r>
        <w:rPr>
          <w:rFonts w:hint="eastAsia" w:ascii="Times New Roman" w:eastAsia="仿宋_GB2312"/>
          <w:color w:val="000000"/>
          <w:spacing w:val="0"/>
          <w:sz w:val="32"/>
          <w:szCs w:val="32"/>
          <w:lang w:val="en-US" w:eastAsia="zh-CN"/>
        </w:rPr>
        <w:t>4</w:t>
      </w:r>
      <w:r>
        <w:rPr>
          <w:rFonts w:hint="eastAsia" w:ascii="Times New Roman" w:eastAsia="仿宋_GB2312"/>
          <w:color w:val="000000"/>
          <w:spacing w:val="0"/>
          <w:sz w:val="32"/>
          <w:szCs w:val="32"/>
        </w:rPr>
        <w:t>. 负责维权的一方应定期通报进展；涉及承认、放弃或变更请求，撤回投诉或诉讼，签署和解或许可协议等重大处分事项的，应事先取得相关权利人的书面同意。</w:t>
      </w:r>
    </w:p>
    <w:p w14:paraId="1F8133CF">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default" w:ascii="Times New Roman" w:eastAsia="仿宋_GB2312"/>
          <w:color w:val="000000"/>
          <w:spacing w:val="0"/>
          <w:sz w:val="32"/>
          <w:szCs w:val="32"/>
          <w:lang w:val="en-US" w:eastAsia="zh-CN"/>
        </w:rPr>
      </w:pPr>
      <w:r>
        <w:rPr>
          <w:rFonts w:hint="eastAsia" w:ascii="Times New Roman" w:eastAsia="仿宋_GB2312"/>
          <w:color w:val="000000"/>
          <w:spacing w:val="0"/>
          <w:sz w:val="32"/>
          <w:szCs w:val="32"/>
          <w:lang w:val="en-US" w:eastAsia="zh-CN"/>
        </w:rPr>
        <w:t>5. 其他事项约定：</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p>
    <w:bookmarkEnd w:id="6"/>
    <w:p w14:paraId="05E30616">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第八条  专利权被宣告无效的处理</w:t>
      </w:r>
    </w:p>
    <w:p w14:paraId="01FEC62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bookmarkStart w:id="7" w:name="_Hlk194592547"/>
      <w:r>
        <w:rPr>
          <w:rFonts w:hint="eastAsia" w:ascii="Times New Roman" w:eastAsia="仿宋_GB2312"/>
          <w:color w:val="000000"/>
          <w:spacing w:val="0"/>
          <w:sz w:val="32"/>
          <w:szCs w:val="32"/>
        </w:rPr>
        <w:t>若许可专利被生效的无效决定宣告全部无效，双方同意按照以下</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项所示规定处理（</w:t>
      </w:r>
      <w:r>
        <w:rPr>
          <w:rFonts w:hint="eastAsia" w:ascii="Times New Roman" w:eastAsia="仿宋_GB2312"/>
          <w:color w:val="000000"/>
          <w:spacing w:val="0"/>
          <w:sz w:val="32"/>
          <w:szCs w:val="32"/>
          <w:lang w:val="en-US" w:eastAsia="zh-CN"/>
        </w:rPr>
        <w:t>可</w:t>
      </w:r>
      <w:r>
        <w:rPr>
          <w:rFonts w:hint="eastAsia" w:ascii="Times New Roman" w:eastAsia="仿宋_GB2312"/>
          <w:color w:val="000000"/>
          <w:spacing w:val="0"/>
          <w:sz w:val="32"/>
          <w:szCs w:val="32"/>
        </w:rPr>
        <w:t>多选）：</w:t>
      </w:r>
    </w:p>
    <w:p w14:paraId="66BED29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关于许可费返还与否的处理。在本协议生效后，如无明显违反公平原则，且许可方无恶意给被许可方造成损失，则对于专利权无效宣告请求审查决定书载明的决定日前已支付的许可费，许可方无需向被许可方返还；否则，许可方应返还被许可方已支付的许可费。</w:t>
      </w:r>
    </w:p>
    <w:p w14:paraId="21EEB557">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w:t>
      </w:r>
      <w:r>
        <w:rPr>
          <w:rFonts w:hint="eastAsia" w:ascii="Times New Roman" w:eastAsia="仿宋_GB2312"/>
          <w:color w:val="000000"/>
          <w:spacing w:val="0"/>
          <w:sz w:val="32"/>
          <w:szCs w:val="32"/>
          <w:lang w:val="en-US" w:eastAsia="zh-CN"/>
        </w:rPr>
        <w:t>2</w:t>
      </w:r>
      <w:r>
        <w:rPr>
          <w:rFonts w:hint="eastAsia" w:ascii="Times New Roman" w:eastAsia="仿宋_GB2312"/>
          <w:color w:val="000000"/>
          <w:spacing w:val="0"/>
          <w:sz w:val="32"/>
          <w:szCs w:val="32"/>
        </w:rPr>
        <w:t>）关于协议的履行。在</w:t>
      </w:r>
      <w:r>
        <w:rPr>
          <w:rFonts w:hint="eastAsia" w:ascii="Times New Roman" w:eastAsia="仿宋_GB2312"/>
          <w:color w:val="000000"/>
          <w:spacing w:val="0"/>
          <w:sz w:val="32"/>
          <w:szCs w:val="32"/>
          <w:lang w:val="en-US" w:eastAsia="zh-CN"/>
        </w:rPr>
        <w:t>全部许可专利</w:t>
      </w:r>
      <w:r>
        <w:rPr>
          <w:rFonts w:hint="eastAsia" w:ascii="Times New Roman" w:eastAsia="仿宋_GB2312"/>
          <w:color w:val="000000"/>
          <w:spacing w:val="0"/>
          <w:sz w:val="32"/>
          <w:szCs w:val="32"/>
        </w:rPr>
        <w:t>已被宣告无效</w:t>
      </w:r>
      <w:r>
        <w:rPr>
          <w:rFonts w:hint="eastAsia" w:ascii="Times New Roman" w:eastAsia="仿宋_GB2312"/>
          <w:color w:val="000000"/>
          <w:spacing w:val="0"/>
          <w:sz w:val="32"/>
          <w:szCs w:val="32"/>
          <w:lang w:val="en-US" w:eastAsia="zh-CN"/>
        </w:rPr>
        <w:t>并</w:t>
      </w:r>
      <w:r>
        <w:rPr>
          <w:rFonts w:hint="eastAsia" w:ascii="Times New Roman" w:eastAsia="仿宋_GB2312"/>
          <w:color w:val="000000"/>
          <w:spacing w:val="0"/>
          <w:sz w:val="32"/>
          <w:szCs w:val="32"/>
        </w:rPr>
        <w:t>被重新判定为有效前，本协议停止履行，被许可方停止支付费用。</w:t>
      </w:r>
    </w:p>
    <w:p w14:paraId="65750CE4">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w:t>
      </w:r>
      <w:r>
        <w:rPr>
          <w:rFonts w:hint="eastAsia" w:ascii="Times New Roman" w:eastAsia="仿宋_GB2312"/>
          <w:color w:val="000000"/>
          <w:spacing w:val="0"/>
          <w:sz w:val="32"/>
          <w:szCs w:val="32"/>
          <w:lang w:val="en-US" w:eastAsia="zh-CN"/>
        </w:rPr>
        <w:t>3</w:t>
      </w:r>
      <w:r>
        <w:rPr>
          <w:rFonts w:hint="eastAsia" w:ascii="Times New Roman" w:eastAsia="仿宋_GB2312"/>
          <w:color w:val="000000"/>
          <w:spacing w:val="0"/>
          <w:sz w:val="32"/>
          <w:szCs w:val="32"/>
        </w:rPr>
        <w:t>）</w:t>
      </w:r>
      <w:r>
        <w:rPr>
          <w:rFonts w:hint="eastAsia" w:ascii="Times New Roman" w:eastAsia="仿宋_GB2312"/>
          <w:color w:val="000000"/>
          <w:spacing w:val="0"/>
          <w:sz w:val="32"/>
          <w:szCs w:val="32"/>
          <w:u w:val="single"/>
        </w:rPr>
        <w:t xml:space="preserve">                                         </w:t>
      </w:r>
    </w:p>
    <w:bookmarkEnd w:id="7"/>
    <w:p w14:paraId="2518DD32">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第九条  不可抗力</w:t>
      </w:r>
    </w:p>
    <w:p w14:paraId="50E7AAEA">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 本协议任何一方均无需因超出其合理预见、控制、克服或避免的原因导致其违反或无法履行本协议项下的任何义务而承担责任，这些原因可能包括禁运、战争、战争行为（无论是否宣战）、恐怖主义行为、叛乱、骚乱、内乱、罢工、停工、流行性疫病或其他劳资纠纷、火灾、洪水、地震</w:t>
      </w:r>
      <w:r>
        <w:rPr>
          <w:rFonts w:hint="eastAsia" w:ascii="Times New Roman" w:eastAsia="仿宋_GB2312"/>
          <w:color w:val="000000"/>
          <w:spacing w:val="0"/>
          <w:sz w:val="32"/>
          <w:szCs w:val="32"/>
          <w:lang w:eastAsia="zh-CN"/>
        </w:rPr>
        <w:t>，或者其他自然</w:t>
      </w:r>
      <w:r>
        <w:rPr>
          <w:rFonts w:hint="eastAsia" w:ascii="Times New Roman" w:eastAsia="仿宋_GB2312"/>
          <w:color w:val="000000"/>
          <w:spacing w:val="0"/>
          <w:sz w:val="32"/>
          <w:szCs w:val="32"/>
        </w:rPr>
        <w:t>事件，或任何政府当局或另一方的作为、不作为或延误（“不可抗力事件”）。</w:t>
      </w:r>
    </w:p>
    <w:p w14:paraId="7C64C5A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 当不可抗力事件发生，双方同意按照以下</w:t>
      </w:r>
      <w:r>
        <w:rPr>
          <w:rFonts w:hint="eastAsia" w:ascii="Times New Roman" w:eastAsia="仿宋_GB2312"/>
          <w:color w:val="000000"/>
          <w:spacing w:val="0"/>
          <w:sz w:val="32"/>
          <w:szCs w:val="32"/>
          <w:lang w:val="en-US" w:eastAsia="zh-CN"/>
        </w:rPr>
        <w:t>第</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项</w:t>
      </w:r>
      <w:r>
        <w:rPr>
          <w:rFonts w:hint="eastAsia" w:ascii="Times New Roman" w:eastAsia="仿宋_GB2312"/>
          <w:color w:val="000000"/>
          <w:spacing w:val="0"/>
          <w:sz w:val="32"/>
          <w:szCs w:val="32"/>
        </w:rPr>
        <w:t>所示规定处理</w:t>
      </w: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lang w:val="en-US" w:eastAsia="zh-CN"/>
        </w:rPr>
        <w:t>可多选</w:t>
      </w:r>
      <w:r>
        <w:rPr>
          <w:rFonts w:hint="eastAsia" w:ascii="Times New Roman" w:eastAsia="仿宋_GB2312"/>
          <w:color w:val="000000"/>
          <w:spacing w:val="0"/>
          <w:sz w:val="32"/>
          <w:szCs w:val="32"/>
          <w:lang w:eastAsia="zh-CN"/>
        </w:rPr>
        <w:t>）</w:t>
      </w:r>
      <w:r>
        <w:rPr>
          <w:rFonts w:hint="eastAsia" w:ascii="Times New Roman" w:eastAsia="仿宋_GB2312"/>
          <w:color w:val="000000"/>
          <w:spacing w:val="0"/>
          <w:sz w:val="32"/>
          <w:szCs w:val="32"/>
        </w:rPr>
        <w:t>：</w:t>
      </w:r>
    </w:p>
    <w:p w14:paraId="33E21CB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（1）任一方在得知不可抗力事件后应立即向另一方发出通知，该等通知包含不可抗力的细节、程度、影响及</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u w:val="single"/>
          <w:lang w:val="en-US" w:eastAsia="zh-CN"/>
        </w:rPr>
        <w:t xml:space="preserve"> </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等。</w:t>
      </w:r>
    </w:p>
    <w:p w14:paraId="578464AC">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（2）任一方在得知不可抗力事件后应及时尽一切必要合理的努力采取适当措施减轻损失。</w:t>
      </w:r>
    </w:p>
    <w:p w14:paraId="72B06A8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3）若因不可抗力事件导致任一方无法按照本协议约定履行义务的，无法履行本协议义务的一方应向另一方提供关于协议不能履行的书面证明，且该证明需要明确表明该一方确实不适合履行本协议。双方应友好协商在另行确认的时间继续履行本协议约定之内容。</w:t>
      </w:r>
    </w:p>
    <w:p w14:paraId="6EB2FC9E">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（4）如果不可抗力事件致使违反或无法履行本协议项下的任何义务持续</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日以上，则任何一方均有权终止本协议。对于不可抗力事件造成本协议的终止，任何一方均不向另一方承担任何责任。</w:t>
      </w:r>
    </w:p>
    <w:p w14:paraId="2351A394">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u w:val="single"/>
        </w:rPr>
      </w:pPr>
      <w:r>
        <w:rPr>
          <w:rFonts w:hint="eastAsia" w:ascii="Times New Roman" w:eastAsia="仿宋_GB2312"/>
          <w:color w:val="000000"/>
          <w:spacing w:val="0"/>
          <w:sz w:val="32"/>
          <w:szCs w:val="32"/>
        </w:rPr>
        <w:t>（5）</w:t>
      </w:r>
      <w:r>
        <w:rPr>
          <w:rFonts w:hint="eastAsia" w:ascii="Times New Roman" w:eastAsia="仿宋_GB2312"/>
          <w:color w:val="000000"/>
          <w:spacing w:val="0"/>
          <w:sz w:val="32"/>
          <w:szCs w:val="32"/>
          <w:u w:val="single"/>
        </w:rPr>
        <w:t xml:space="preserve">                                         </w:t>
      </w:r>
    </w:p>
    <w:p w14:paraId="00C0E725">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pPr>
      <w:r>
        <w:rPr>
          <w:rFonts w:hint="eastAsia" w:ascii="黑体" w:hAnsi="黑体" w:eastAsia="黑体"/>
          <w:bCs/>
          <w:sz w:val="32"/>
          <w:szCs w:val="32"/>
        </w:rPr>
        <w:t>第</w:t>
      </w:r>
      <w:r>
        <w:rPr>
          <w:rFonts w:hint="eastAsia" w:ascii="黑体" w:hAnsi="黑体" w:eastAsia="黑体"/>
          <w:bCs/>
          <w:sz w:val="32"/>
          <w:szCs w:val="32"/>
          <w:lang w:val="en-US" w:eastAsia="zh-CN"/>
        </w:rPr>
        <w:t>十</w:t>
      </w:r>
      <w:r>
        <w:rPr>
          <w:rFonts w:hint="eastAsia" w:ascii="黑体" w:hAnsi="黑体" w:eastAsia="黑体"/>
          <w:bCs/>
          <w:sz w:val="32"/>
          <w:szCs w:val="32"/>
        </w:rPr>
        <w:t>条  反垄断合规</w:t>
      </w:r>
    </w:p>
    <w:p w14:paraId="1C0A168A">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1. 双方确认，本协议的订立和履行应当遵守《中华人民共和国反垄断法》《禁止滥用知识产权排除、限制竞争行为规定》《国务院反垄断委员会关于知识产权领域的反垄断指南》和《专利池建设运行工作指引》的相关规定。</w:t>
      </w:r>
    </w:p>
    <w:p w14:paraId="643B360D">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2. 许可方不得利用专利池达成、组织或者协助其他经营者达成下列垄断协议：</w:t>
      </w:r>
    </w:p>
    <w:p w14:paraId="3C0AD949">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（1）固定或者变更专利许可费价格、许可条件；</w:t>
      </w:r>
    </w:p>
    <w:p w14:paraId="49EE6F57">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（2）限制专利许可数量，或者限制许可产品的生产数量、销售数量；</w:t>
      </w:r>
    </w:p>
    <w:p w14:paraId="410F0119">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（3）分割专利许可市场、产品销售市场或者客户；</w:t>
      </w:r>
    </w:p>
    <w:p w14:paraId="42BBA669">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（4）限制新技术研发，或者限制使用、开发竞争性技术；</w:t>
      </w:r>
    </w:p>
    <w:p w14:paraId="7F78DFA2">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（5）其他排除、限制竞争的协议。</w:t>
      </w:r>
    </w:p>
    <w:p w14:paraId="47CBD844">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3. 许可方不得通过专利池交换或者传递专利许可费率、许可条件、产品成本与价格、产量、客户名单、研发计划等竞争性敏感信息。</w:t>
      </w:r>
    </w:p>
    <w:p w14:paraId="73495040">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4. 许可方具有市场支配地位的，不得利用专利池从事下列滥用市场支配地位的行为：</w:t>
      </w:r>
    </w:p>
    <w:p w14:paraId="76E6FF05">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（1）以不公平的高价许可许可专利；</w:t>
      </w:r>
    </w:p>
    <w:p w14:paraId="18170534">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（2）没有正当理由，拒绝许可，或者限制被许可方的专利使用范围；</w:t>
      </w:r>
    </w:p>
    <w:p w14:paraId="79385E70">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（3）没有正当理由，强制或者变相强制被许可方接受一揽子许可；</w:t>
      </w:r>
    </w:p>
    <w:p w14:paraId="0DF0B384">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（4）没有正当理由，强制要求被许可方将其改进或者研发的技术排他性或者独占性地回授；</w:t>
      </w:r>
    </w:p>
    <w:p w14:paraId="4B800141">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（5）没有正当理由，禁止被许可方质疑许可专利的有效性；</w:t>
      </w:r>
    </w:p>
    <w:p w14:paraId="527D70BF">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（6）没有正当理由，将竞争性专利强制组合许可，或者将非必要专利、已经终止的专利与其他专利强制组合许可；</w:t>
      </w:r>
    </w:p>
    <w:p w14:paraId="407A3559">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（7）没有正当理由，对条件相同的被许可方在交易条件上实行差别待遇。</w:t>
      </w:r>
    </w:p>
    <w:p w14:paraId="6487AF6C">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5. 许可方不得组织、协调专利权人同步或者集中对同一被许可方提起诉讼或者采取其他维权措施。许可方向被许可方提供的应诉协助、费用报销等支持，应当公平、合理、无歧视。</w:t>
      </w:r>
    </w:p>
    <w:p w14:paraId="72D74922">
      <w:pPr>
        <w:keepNext w:val="0"/>
        <w:keepLines w:val="0"/>
        <w:pageBreakBefore w:val="0"/>
        <w:kinsoku/>
        <w:wordWrap w:val="0"/>
        <w:overflowPunct/>
        <w:topLinePunct w:val="0"/>
        <w:autoSpaceDE/>
        <w:autoSpaceDN/>
        <w:bidi w:val="0"/>
        <w:spacing w:after="0" w:line="560" w:lineRule="exact"/>
        <w:ind w:left="0" w:firstLine="640" w:firstLineChars="200"/>
        <w:textAlignment w:val="auto"/>
      </w:pPr>
      <w:r>
        <w:rPr>
          <w:rFonts w:hint="eastAsia" w:ascii="Times New Roman" w:eastAsia="仿宋_GB2312"/>
          <w:color w:val="000000"/>
          <w:spacing w:val="0"/>
          <w:sz w:val="32"/>
          <w:szCs w:val="32"/>
        </w:rPr>
        <w:t>6. 许可费的确定与调整应当遵循公平、合理、无歧视原则，并遵循独立、透明的程序。</w:t>
      </w:r>
    </w:p>
    <w:p w14:paraId="2AAF092D">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pPr>
      <w:r>
        <w:rPr>
          <w:rFonts w:hint="eastAsia" w:ascii="黑体" w:hAnsi="黑体" w:eastAsia="黑体"/>
          <w:bCs/>
          <w:sz w:val="32"/>
          <w:szCs w:val="32"/>
        </w:rPr>
        <w:t>第</w:t>
      </w:r>
      <w:r>
        <w:rPr>
          <w:rFonts w:hint="eastAsia" w:ascii="黑体" w:hAnsi="黑体" w:eastAsia="黑体"/>
          <w:bCs/>
          <w:sz w:val="32"/>
          <w:szCs w:val="32"/>
          <w:lang w:val="en-US" w:eastAsia="zh-CN"/>
        </w:rPr>
        <w:t>十一</w:t>
      </w:r>
      <w:r>
        <w:rPr>
          <w:rFonts w:hint="eastAsia" w:ascii="黑体" w:hAnsi="黑体" w:eastAsia="黑体"/>
          <w:bCs/>
          <w:sz w:val="32"/>
          <w:szCs w:val="32"/>
        </w:rPr>
        <w:t>条  跨境合规与技术出口管制</w:t>
      </w:r>
    </w:p>
    <w:p w14:paraId="1DCAFAE4">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pacing w:val="0"/>
          <w:sz w:val="32"/>
          <w:szCs w:val="32"/>
          <w:highlight w:val="none"/>
          <w14:ligatures w14:val="none"/>
        </w:rPr>
      </w:pPr>
      <w:r>
        <w:rPr>
          <w:rFonts w:hint="eastAsia" w:ascii="Times New Roman" w:hAnsi="Times New Roman" w:eastAsia="仿宋_GB2312" w:cs="Times New Roman"/>
          <w:color w:val="000000"/>
          <w:spacing w:val="0"/>
          <w:sz w:val="32"/>
          <w:szCs w:val="32"/>
          <w:highlight w:val="none"/>
          <w14:ligatures w14:val="none"/>
        </w:rPr>
        <w:t>1. 涉及境外专利权人、境外被许可方，或者向境外提供技术资料的，双方应当遵守《中华人民共和国出口管制法》《中华人民共和国对外贸易法》《中华人民共和国两用物项出口管制条例》《中华人民共和国技术进出口管理条例》以及《中国禁止出口限制出口技术目录》的规定，依法办理许可、登记或者备案手续。专利实施许可属于技术出口的，按照前</w:t>
      </w:r>
      <w:r>
        <w:rPr>
          <w:rFonts w:hint="eastAsia" w:ascii="Times New Roman" w:hAnsi="Times New Roman" w:eastAsia="仿宋_GB2312" w:cs="Times New Roman"/>
          <w:color w:val="000000"/>
          <w:spacing w:val="0"/>
          <w:sz w:val="32"/>
          <w:szCs w:val="32"/>
          <w:highlight w:val="none"/>
          <w:lang w:val="en-US" w:eastAsia="zh-CN"/>
          <w14:ligatures w14:val="none"/>
        </w:rPr>
        <w:t>述</w:t>
      </w:r>
      <w:r>
        <w:rPr>
          <w:rFonts w:hint="eastAsia" w:ascii="Times New Roman" w:hAnsi="Times New Roman" w:eastAsia="仿宋_GB2312" w:cs="Times New Roman"/>
          <w:color w:val="000000"/>
          <w:spacing w:val="0"/>
          <w:sz w:val="32"/>
          <w:szCs w:val="32"/>
          <w:highlight w:val="none"/>
          <w14:ligatures w14:val="none"/>
        </w:rPr>
        <w:t>规定办理相关手续。</w:t>
      </w:r>
    </w:p>
    <w:p w14:paraId="7854A30A">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pacing w:val="0"/>
          <w:sz w:val="32"/>
          <w:szCs w:val="32"/>
          <w:highlight w:val="none"/>
          <w14:ligatures w14:val="none"/>
        </w:rPr>
      </w:pPr>
      <w:r>
        <w:rPr>
          <w:rFonts w:hint="eastAsia" w:ascii="Times New Roman" w:hAnsi="Times New Roman" w:eastAsia="仿宋_GB2312" w:cs="Times New Roman"/>
          <w:color w:val="000000"/>
          <w:spacing w:val="0"/>
          <w:sz w:val="32"/>
          <w:szCs w:val="32"/>
          <w:highlight w:val="none"/>
          <w14:ligatures w14:val="none"/>
        </w:rPr>
        <w:t>2. 涉及数据出境的，双方应当遵守《中华人民共和国数据安全法》《中华人民共和国个人信息保护法》《数据出境安全评估办法》等相关法律法规，依法履行申报、评估等义务。</w:t>
      </w:r>
    </w:p>
    <w:p w14:paraId="7D78675C">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pacing w:val="0"/>
          <w:sz w:val="32"/>
          <w:szCs w:val="32"/>
          <w:highlight w:val="none"/>
          <w14:ligatures w14:val="none"/>
        </w:rPr>
      </w:pPr>
      <w:r>
        <w:rPr>
          <w:rFonts w:hint="eastAsia" w:ascii="Times New Roman" w:hAnsi="Times New Roman" w:eastAsia="仿宋_GB2312" w:cs="Times New Roman"/>
          <w:color w:val="000000"/>
          <w:spacing w:val="0"/>
          <w:sz w:val="32"/>
          <w:szCs w:val="32"/>
          <w:highlight w:val="none"/>
          <w14:ligatures w14:val="none"/>
        </w:rPr>
        <w:t>3. 涉及跨境支付、外汇管理的，双方应当依法办理相关手续，并各自承担相应税费。</w:t>
      </w:r>
    </w:p>
    <w:p w14:paraId="0CF34B59">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第十</w:t>
      </w:r>
      <w:r>
        <w:rPr>
          <w:rFonts w:hint="eastAsia" w:ascii="黑体" w:hAnsi="黑体" w:eastAsia="黑体"/>
          <w:bCs/>
          <w:sz w:val="32"/>
          <w:szCs w:val="32"/>
          <w:lang w:val="en-US" w:eastAsia="zh-CN"/>
        </w:rPr>
        <w:t>二</w:t>
      </w:r>
      <w:r>
        <w:rPr>
          <w:rFonts w:hint="eastAsia" w:ascii="黑体" w:hAnsi="黑体" w:eastAsia="黑体"/>
          <w:bCs/>
          <w:sz w:val="32"/>
          <w:szCs w:val="32"/>
        </w:rPr>
        <w:t>条  送达</w:t>
      </w:r>
    </w:p>
    <w:p w14:paraId="7A37356B">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ascii="Times New Roman" w:eastAsia="仿宋_GB2312"/>
          <w:color w:val="000000"/>
          <w:spacing w:val="0"/>
          <w:sz w:val="32"/>
          <w:szCs w:val="32"/>
        </w:rPr>
      </w:pPr>
      <w:r>
        <w:rPr>
          <w:rFonts w:hint="eastAsia" w:ascii="Times New Roman" w:eastAsia="仿宋_GB2312"/>
          <w:color w:val="000000"/>
          <w:spacing w:val="0"/>
          <w:sz w:val="32"/>
          <w:szCs w:val="32"/>
        </w:rPr>
        <w:t>本协议前言列明的通讯地址、联系人等联系信息适用于双方往来联系、</w:t>
      </w:r>
      <w:r>
        <w:rPr>
          <w:rFonts w:hint="eastAsia" w:ascii="Times New Roman" w:eastAsia="仿宋_GB2312"/>
          <w:color w:val="000000"/>
          <w:spacing w:val="0"/>
          <w:sz w:val="32"/>
          <w:szCs w:val="32"/>
          <w:lang w:val="en-US" w:eastAsia="zh-CN"/>
        </w:rPr>
        <w:t>技术</w:t>
      </w:r>
      <w:r>
        <w:rPr>
          <w:rFonts w:hint="eastAsia" w:ascii="Times New Roman" w:eastAsia="仿宋_GB2312"/>
          <w:color w:val="000000"/>
          <w:spacing w:val="0"/>
          <w:sz w:val="32"/>
          <w:szCs w:val="32"/>
        </w:rPr>
        <w:t>资料交付、书面文件送达及争议解决时法律文书送达。一方变更联系信息的，应当提前</w:t>
      </w:r>
      <w:r>
        <w:rPr>
          <w:rFonts w:hint="eastAsia" w:ascii="Times New Roman" w:eastAsia="仿宋_GB2312"/>
          <w:color w:val="000000"/>
          <w:spacing w:val="0"/>
          <w:sz w:val="32"/>
          <w:szCs w:val="32"/>
          <w:u w:val="single"/>
        </w:rPr>
        <w:t xml:space="preserve">    </w:t>
      </w:r>
      <w:r>
        <w:rPr>
          <w:rFonts w:hint="eastAsia" w:ascii="Times New Roman" w:eastAsia="仿宋_GB2312"/>
          <w:color w:val="000000"/>
          <w:spacing w:val="0"/>
          <w:sz w:val="32"/>
          <w:szCs w:val="32"/>
        </w:rPr>
        <w:t>日以书面形式通知另一方。</w:t>
      </w:r>
    </w:p>
    <w:p w14:paraId="65106FA6">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第十</w:t>
      </w:r>
      <w:r>
        <w:rPr>
          <w:rFonts w:hint="eastAsia" w:ascii="黑体" w:hAnsi="黑体" w:eastAsia="黑体"/>
          <w:bCs/>
          <w:sz w:val="32"/>
          <w:szCs w:val="32"/>
          <w:lang w:val="en-US" w:eastAsia="zh-CN"/>
        </w:rPr>
        <w:t>三</w:t>
      </w:r>
      <w:r>
        <w:rPr>
          <w:rFonts w:hint="eastAsia" w:ascii="黑体" w:hAnsi="黑体" w:eastAsia="黑体"/>
          <w:bCs/>
          <w:sz w:val="32"/>
          <w:szCs w:val="32"/>
        </w:rPr>
        <w:t>条  违约与损害赔偿</w:t>
      </w:r>
    </w:p>
    <w:p w14:paraId="67D2E494">
      <w:pPr>
        <w:pStyle w:val="31"/>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黑体" w:eastAsia="仿宋_GB2312"/>
          <w:sz w:val="32"/>
          <w:szCs w:val="32"/>
        </w:rPr>
      </w:pPr>
      <w:bookmarkStart w:id="8" w:name="_Hlk194592358"/>
      <w:r>
        <w:rPr>
          <w:rFonts w:hint="eastAsia" w:ascii="Times New Roman" w:hAnsi="Times New Roman" w:eastAsia="仿宋_GB2312" w:cs="Times New Roman"/>
          <w:color w:val="000000"/>
          <w:spacing w:val="0"/>
          <w:kern w:val="2"/>
          <w:sz w:val="32"/>
          <w:szCs w:val="32"/>
          <w:lang w:val="en-US" w:eastAsia="zh-CN" w:bidi="ar-SA"/>
          <w14:ligatures w14:val="none"/>
        </w:rPr>
        <w:t xml:space="preserve">1. </w:t>
      </w:r>
      <w:r>
        <w:rPr>
          <w:rFonts w:hint="eastAsia" w:ascii="仿宋_GB2312" w:hAnsi="黑体" w:eastAsia="仿宋_GB2312"/>
          <w:sz w:val="32"/>
          <w:szCs w:val="32"/>
        </w:rPr>
        <w:t>在许可期限内</w:t>
      </w:r>
      <w:r>
        <w:rPr>
          <w:rFonts w:hint="eastAsia" w:ascii="仿宋_GB2312" w:hAnsi="黑体" w:eastAsia="仿宋_GB2312"/>
          <w:sz w:val="32"/>
          <w:szCs w:val="32"/>
          <w:lang w:eastAsia="zh-CN"/>
        </w:rPr>
        <w:t>，</w:t>
      </w:r>
      <w:r>
        <w:rPr>
          <w:rFonts w:hint="eastAsia" w:ascii="仿宋_GB2312" w:hAnsi="黑体" w:eastAsia="仿宋_GB2312"/>
          <w:sz w:val="32"/>
          <w:szCs w:val="32"/>
        </w:rPr>
        <w:t>许可专利全部失去效力，被许可方有权解除协议。</w:t>
      </w:r>
    </w:p>
    <w:p w14:paraId="69AD4017">
      <w:pPr>
        <w:pStyle w:val="31"/>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黑体" w:eastAsia="仿宋_GB2312"/>
          <w:sz w:val="32"/>
          <w:szCs w:val="32"/>
        </w:rPr>
      </w:pPr>
      <w:r>
        <w:rPr>
          <w:rFonts w:hint="eastAsia" w:ascii="Times New Roman" w:hAnsi="Times New Roman" w:eastAsia="仿宋_GB2312" w:cs="Times New Roman"/>
          <w:color w:val="000000"/>
          <w:spacing w:val="0"/>
          <w:kern w:val="2"/>
          <w:sz w:val="32"/>
          <w:szCs w:val="32"/>
          <w:lang w:val="en-US" w:eastAsia="zh-CN" w:bidi="ar-SA"/>
          <w14:ligatures w14:val="none"/>
        </w:rPr>
        <w:t xml:space="preserve">2. </w:t>
      </w:r>
      <w:r>
        <w:rPr>
          <w:rFonts w:hint="eastAsia" w:ascii="仿宋_GB2312" w:hAnsi="黑体" w:eastAsia="仿宋_GB2312"/>
          <w:sz w:val="32"/>
          <w:szCs w:val="32"/>
        </w:rPr>
        <w:t>被许可方未按照本</w:t>
      </w:r>
      <w:r>
        <w:rPr>
          <w:rFonts w:hint="eastAsia" w:ascii="仿宋_GB2312" w:hAnsi="黑体" w:eastAsia="仿宋_GB2312"/>
          <w:sz w:val="32"/>
          <w:szCs w:val="32"/>
          <w:lang w:val="en-US" w:eastAsia="zh-CN"/>
        </w:rPr>
        <w:t>协议</w:t>
      </w:r>
      <w:r>
        <w:rPr>
          <w:rFonts w:hint="eastAsia" w:ascii="仿宋_GB2312" w:hAnsi="黑体" w:eastAsia="仿宋_GB2312"/>
          <w:sz w:val="32"/>
          <w:szCs w:val="32"/>
        </w:rPr>
        <w:t>约定足额按时支付许可费，应当补交许可费，并按照日息</w:t>
      </w:r>
      <w:r>
        <w:rPr>
          <w:rFonts w:hint="eastAsia" w:ascii="仿宋_GB2312" w:hAnsi="黑体" w:eastAsia="仿宋_GB2312"/>
          <w:sz w:val="32"/>
          <w:szCs w:val="32"/>
          <w:u w:val="single"/>
        </w:rPr>
        <w:t xml:space="preserve">    </w:t>
      </w:r>
      <w:r>
        <w:rPr>
          <w:rFonts w:hint="eastAsia" w:ascii="仿宋_GB2312" w:hAnsi="黑体" w:eastAsia="仿宋_GB2312"/>
          <w:sz w:val="32"/>
          <w:szCs w:val="32"/>
        </w:rPr>
        <w:t>和逾期天数支付许可方违约金。</w:t>
      </w:r>
    </w:p>
    <w:p w14:paraId="10E86528">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黑体" w:eastAsia="仿宋_GB2312"/>
          <w:sz w:val="32"/>
          <w:szCs w:val="32"/>
        </w:rPr>
      </w:pPr>
      <w:r>
        <w:rPr>
          <w:rFonts w:hint="eastAsia" w:ascii="Times New Roman" w:eastAsia="仿宋_GB2312"/>
          <w:color w:val="000000"/>
          <w:spacing w:val="0"/>
          <w:sz w:val="32"/>
          <w:szCs w:val="32"/>
        </w:rPr>
        <w:t xml:space="preserve">3. </w:t>
      </w:r>
      <w:r>
        <w:rPr>
          <w:rFonts w:hint="eastAsia" w:ascii="仿宋_GB2312" w:hAnsi="黑体" w:eastAsia="仿宋_GB2312"/>
          <w:sz w:val="32"/>
          <w:szCs w:val="32"/>
        </w:rPr>
        <w:t>被许可方违反协议的保密条款，致使许可方的保密信息泄露，应当赔偿许可方因此遭受的损失。</w:t>
      </w:r>
    </w:p>
    <w:p w14:paraId="0A97B07D">
      <w:pPr>
        <w:pStyle w:val="31"/>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黑体" w:eastAsia="仿宋_GB2312"/>
          <w:sz w:val="32"/>
          <w:szCs w:val="32"/>
        </w:rPr>
      </w:pPr>
      <w:r>
        <w:rPr>
          <w:rFonts w:hint="eastAsia" w:ascii="Times New Roman" w:hAnsi="Times New Roman" w:eastAsia="仿宋_GB2312" w:cs="Times New Roman"/>
          <w:color w:val="000000"/>
          <w:spacing w:val="0"/>
          <w:kern w:val="2"/>
          <w:sz w:val="32"/>
          <w:szCs w:val="32"/>
          <w:lang w:val="en-US" w:eastAsia="zh-CN" w:bidi="ar-SA"/>
          <w14:ligatures w14:val="none"/>
        </w:rPr>
        <w:t xml:space="preserve">4. </w:t>
      </w:r>
      <w:r>
        <w:rPr>
          <w:rFonts w:hint="eastAsia" w:ascii="仿宋_GB2312" w:hAnsi="黑体" w:eastAsia="仿宋_GB2312"/>
          <w:sz w:val="32"/>
          <w:szCs w:val="32"/>
        </w:rPr>
        <w:t>任何一方未能履行其在本协议项下的其他义务，应当对守约方因此遭受的损失承担相应责任。</w:t>
      </w:r>
    </w:p>
    <w:bookmarkEnd w:id="8"/>
    <w:p w14:paraId="4F597C76">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bookmarkStart w:id="9" w:name="_Hlk100867170"/>
      <w:r>
        <w:rPr>
          <w:rFonts w:hint="eastAsia" w:ascii="黑体" w:hAnsi="黑体" w:eastAsia="黑体"/>
          <w:bCs/>
          <w:sz w:val="32"/>
          <w:szCs w:val="32"/>
        </w:rPr>
        <w:t>第十</w:t>
      </w:r>
      <w:r>
        <w:rPr>
          <w:rFonts w:hint="eastAsia" w:ascii="黑体" w:hAnsi="黑体" w:eastAsia="黑体"/>
          <w:bCs/>
          <w:sz w:val="32"/>
          <w:szCs w:val="32"/>
          <w:lang w:val="en-US" w:eastAsia="zh-CN"/>
        </w:rPr>
        <w:t>四</w:t>
      </w:r>
      <w:r>
        <w:rPr>
          <w:rFonts w:hint="eastAsia" w:ascii="黑体" w:hAnsi="黑体" w:eastAsia="黑体"/>
          <w:bCs/>
          <w:sz w:val="32"/>
          <w:szCs w:val="32"/>
        </w:rPr>
        <w:t>条  税费</w:t>
      </w:r>
    </w:p>
    <w:p w14:paraId="6181B47A">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textAlignment w:val="auto"/>
        <w:rPr>
          <w:rFonts w:hint="eastAsia" w:ascii="仿宋_GB2312" w:hAnsi="宋体" w:eastAsia="仿宋_GB2312"/>
          <w:sz w:val="32"/>
          <w:szCs w:val="32"/>
          <w:lang w:eastAsia="zh-CN"/>
        </w:rPr>
      </w:pPr>
      <w:bookmarkStart w:id="10" w:name="_Hlk194592308"/>
      <w:r>
        <w:rPr>
          <w:rFonts w:hint="eastAsia" w:ascii="仿宋_GB2312" w:hAnsi="宋体" w:eastAsia="仿宋_GB2312"/>
          <w:sz w:val="32"/>
          <w:szCs w:val="32"/>
        </w:rPr>
        <w:t>除非本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另有约定，双方同意本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项下产生的一切税费按照以下第</w:t>
      </w:r>
      <w:r>
        <w:rPr>
          <w:rFonts w:hint="eastAsia" w:ascii="仿宋_GB2312" w:hAnsi="宋体" w:eastAsia="仿宋_GB2312"/>
          <w:sz w:val="32"/>
          <w:szCs w:val="32"/>
          <w:u w:val="single"/>
        </w:rPr>
        <w:t xml:space="preserve">    </w:t>
      </w:r>
      <w:r>
        <w:rPr>
          <w:rFonts w:hint="eastAsia" w:ascii="仿宋_GB2312" w:hAnsi="宋体" w:eastAsia="仿宋_GB2312"/>
          <w:sz w:val="32"/>
          <w:szCs w:val="32"/>
        </w:rPr>
        <w:t>项所示规定处理（单选）</w:t>
      </w:r>
      <w:r>
        <w:rPr>
          <w:rFonts w:hint="eastAsia" w:ascii="仿宋_GB2312" w:hAnsi="宋体" w:eastAsia="仿宋_GB2312"/>
          <w:sz w:val="32"/>
          <w:szCs w:val="32"/>
          <w:lang w:eastAsia="zh-CN"/>
        </w:rPr>
        <w:t>：</w:t>
      </w:r>
    </w:p>
    <w:p w14:paraId="644F436C">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宋体" w:eastAsia="仿宋_GB2312"/>
          <w:sz w:val="32"/>
          <w:szCs w:val="32"/>
        </w:rPr>
      </w:pPr>
      <w:r>
        <w:rPr>
          <w:rFonts w:hint="eastAsia" w:ascii="Times New Roman" w:eastAsia="仿宋_GB2312"/>
          <w:color w:val="000000"/>
          <w:spacing w:val="0"/>
          <w:sz w:val="32"/>
          <w:szCs w:val="32"/>
        </w:rPr>
        <w:t>（1）</w:t>
      </w:r>
      <w:r>
        <w:rPr>
          <w:rFonts w:hint="eastAsia" w:ascii="仿宋_GB2312" w:hAnsi="宋体" w:eastAsia="仿宋_GB2312"/>
          <w:sz w:val="32"/>
          <w:szCs w:val="32"/>
        </w:rPr>
        <w:t>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项下产生的一切税费由</w:t>
      </w:r>
      <w:r>
        <w:rPr>
          <w:rFonts w:hint="eastAsia" w:ascii="仿宋_GB2312" w:hAnsi="宋体" w:eastAsia="仿宋_GB2312"/>
          <w:sz w:val="32"/>
          <w:szCs w:val="32"/>
          <w:u w:val="single"/>
        </w:rPr>
        <w:t xml:space="preserve">          </w:t>
      </w:r>
      <w:r>
        <w:rPr>
          <w:rFonts w:hint="eastAsia" w:ascii="仿宋_GB2312" w:hAnsi="宋体" w:eastAsia="仿宋_GB2312"/>
          <w:sz w:val="32"/>
          <w:szCs w:val="32"/>
        </w:rPr>
        <w:t>（许可方/被许可方/……）承担。</w:t>
      </w:r>
    </w:p>
    <w:p w14:paraId="4DE3484D">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宋体" w:eastAsia="仿宋_GB2312"/>
          <w:sz w:val="32"/>
          <w:szCs w:val="32"/>
        </w:rPr>
      </w:pPr>
      <w:r>
        <w:rPr>
          <w:rFonts w:hint="eastAsia" w:ascii="Times New Roman" w:eastAsia="仿宋_GB2312"/>
          <w:color w:val="000000"/>
          <w:spacing w:val="0"/>
          <w:sz w:val="32"/>
          <w:szCs w:val="32"/>
        </w:rPr>
        <w:t>（2）</w:t>
      </w:r>
      <w:r>
        <w:rPr>
          <w:rFonts w:hint="eastAsia" w:ascii="仿宋_GB2312" w:hAnsi="宋体" w:eastAsia="仿宋_GB2312"/>
          <w:sz w:val="32"/>
          <w:szCs w:val="32"/>
        </w:rPr>
        <w:t>双方应当按照法律的规定，各自独立承担法律对其所规定的各项纳税义务。</w:t>
      </w:r>
    </w:p>
    <w:p w14:paraId="0792561D">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宋体" w:eastAsia="仿宋_GB2312"/>
          <w:sz w:val="32"/>
          <w:szCs w:val="32"/>
        </w:rPr>
      </w:pPr>
      <w:r>
        <w:rPr>
          <w:rFonts w:hint="eastAsia" w:ascii="Times New Roman" w:eastAsia="仿宋_GB2312"/>
          <w:color w:val="000000"/>
          <w:spacing w:val="0"/>
          <w:sz w:val="32"/>
          <w:szCs w:val="32"/>
        </w:rPr>
        <w:t>（3）</w:t>
      </w:r>
      <w:r>
        <w:rPr>
          <w:rFonts w:ascii="仿宋_GB2312" w:hAnsi="宋体" w:eastAsia="仿宋_GB2312"/>
          <w:sz w:val="32"/>
          <w:szCs w:val="32"/>
          <w:u w:val="single"/>
        </w:rPr>
        <w:t xml:space="preserve">                                       </w:t>
      </w:r>
      <w:r>
        <w:rPr>
          <w:rFonts w:hint="eastAsia" w:ascii="仿宋_GB2312" w:hAnsi="宋体" w:eastAsia="仿宋_GB2312"/>
          <w:sz w:val="32"/>
          <w:szCs w:val="32"/>
          <w:u w:val="single"/>
        </w:rPr>
        <w:t xml:space="preserve"> </w:t>
      </w:r>
    </w:p>
    <w:bookmarkEnd w:id="9"/>
    <w:bookmarkEnd w:id="10"/>
    <w:p w14:paraId="39957D42">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第十</w:t>
      </w:r>
      <w:r>
        <w:rPr>
          <w:rFonts w:hint="eastAsia" w:ascii="黑体" w:hAnsi="黑体" w:eastAsia="黑体"/>
          <w:bCs/>
          <w:sz w:val="32"/>
          <w:szCs w:val="32"/>
          <w:lang w:val="en-US" w:eastAsia="zh-CN"/>
        </w:rPr>
        <w:t>五</w:t>
      </w:r>
      <w:r>
        <w:rPr>
          <w:rFonts w:hint="eastAsia" w:ascii="黑体" w:hAnsi="黑体" w:eastAsia="黑体"/>
          <w:bCs/>
          <w:sz w:val="32"/>
          <w:szCs w:val="32"/>
        </w:rPr>
        <w:t>条  争议解决</w:t>
      </w:r>
    </w:p>
    <w:p w14:paraId="334A1898">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宋体" w:eastAsia="仿宋_GB2312"/>
          <w:sz w:val="32"/>
          <w:szCs w:val="32"/>
        </w:rPr>
      </w:pPr>
      <w:bookmarkStart w:id="11" w:name="_Hlk100867221"/>
      <w:bookmarkStart w:id="12" w:name="_Hlk194592280"/>
      <w:r>
        <w:rPr>
          <w:rFonts w:hint="eastAsia" w:ascii="Times New Roman" w:eastAsia="仿宋_GB2312"/>
          <w:color w:val="000000"/>
          <w:spacing w:val="0"/>
          <w:sz w:val="32"/>
          <w:szCs w:val="32"/>
        </w:rPr>
        <w:t>1.</w:t>
      </w:r>
      <w:r>
        <w:rPr>
          <w:rFonts w:hint="eastAsia" w:ascii="Times New Roman" w:eastAsia="仿宋_GB2312"/>
          <w:color w:val="000000"/>
          <w:spacing w:val="0"/>
          <w:sz w:val="32"/>
          <w:szCs w:val="32"/>
          <w:lang w:val="en-US" w:eastAsia="zh-CN"/>
        </w:rPr>
        <w:t xml:space="preserve"> </w:t>
      </w:r>
      <w:r>
        <w:rPr>
          <w:rFonts w:hint="eastAsia" w:ascii="仿宋_GB2312" w:hAnsi="宋体" w:eastAsia="仿宋_GB2312"/>
          <w:sz w:val="32"/>
          <w:szCs w:val="32"/>
        </w:rPr>
        <w:t>双方同意</w:t>
      </w:r>
      <w:bookmarkEnd w:id="11"/>
      <w:r>
        <w:rPr>
          <w:rFonts w:hint="eastAsia" w:ascii="仿宋_GB2312" w:hAnsi="宋体" w:eastAsia="仿宋_GB2312"/>
          <w:sz w:val="32"/>
          <w:szCs w:val="32"/>
        </w:rPr>
        <w:t>本协议适用中华人民共和国法律。</w:t>
      </w:r>
    </w:p>
    <w:p w14:paraId="7DA9E6B2">
      <w:pPr>
        <w:keepNext w:val="0"/>
        <w:keepLines w:val="0"/>
        <w:pageBreakBefore w:val="0"/>
        <w:kinsoku/>
        <w:wordWrap w:val="0"/>
        <w:overflowPunct/>
        <w:topLinePunct w:val="0"/>
        <w:autoSpaceDE/>
        <w:autoSpaceDN/>
        <w:bidi w:val="0"/>
        <w:spacing w:after="0" w:line="560" w:lineRule="exact"/>
        <w:ind w:left="0" w:firstLine="640" w:firstLineChars="200"/>
        <w:textAlignment w:val="auto"/>
        <w:rPr>
          <w:rFonts w:hint="eastAsia" w:ascii="仿宋_GB2312" w:hAnsi="宋体" w:eastAsia="仿宋_GB2312"/>
          <w:sz w:val="32"/>
          <w:szCs w:val="32"/>
        </w:rPr>
      </w:pPr>
      <w:r>
        <w:rPr>
          <w:rFonts w:hint="eastAsia" w:ascii="Times New Roman" w:eastAsia="仿宋_GB2312"/>
          <w:color w:val="000000"/>
          <w:spacing w:val="0"/>
          <w:sz w:val="32"/>
          <w:szCs w:val="32"/>
        </w:rPr>
        <w:t>2.</w:t>
      </w:r>
      <w:r>
        <w:rPr>
          <w:rFonts w:hint="eastAsia" w:ascii="Times New Roman" w:eastAsia="仿宋_GB2312"/>
          <w:color w:val="000000"/>
          <w:spacing w:val="0"/>
          <w:sz w:val="32"/>
          <w:szCs w:val="32"/>
          <w:lang w:val="en-US" w:eastAsia="zh-CN"/>
        </w:rPr>
        <w:t xml:space="preserve"> </w:t>
      </w:r>
      <w:r>
        <w:rPr>
          <w:rFonts w:hint="eastAsia" w:ascii="仿宋_GB2312" w:hAnsi="宋体" w:eastAsia="仿宋_GB2312"/>
          <w:sz w:val="32"/>
          <w:szCs w:val="32"/>
        </w:rPr>
        <w:t>在履行本协议过程中发生争议的，双方应当友好协商解决。双方协商不成的，任何一方可采取以下第</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rPr>
        <w:t>种方式处理（单选）：</w:t>
      </w:r>
    </w:p>
    <w:p w14:paraId="64D4ADD5">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宋体" w:eastAsia="仿宋_GB2312"/>
          <w:sz w:val="32"/>
          <w:szCs w:val="32"/>
          <w:lang w:eastAsia="zh-CN"/>
        </w:rPr>
      </w:pPr>
      <w:r>
        <w:rPr>
          <w:rFonts w:hint="eastAsia" w:ascii="Times New Roman" w:eastAsia="仿宋_GB2312"/>
          <w:color w:val="000000"/>
          <w:spacing w:val="0"/>
          <w:sz w:val="32"/>
          <w:szCs w:val="32"/>
        </w:rPr>
        <w:t>（1）</w:t>
      </w:r>
      <w:r>
        <w:rPr>
          <w:rFonts w:hint="eastAsia" w:ascii="仿宋_GB2312" w:hAnsi="宋体" w:eastAsia="仿宋_GB2312"/>
          <w:sz w:val="32"/>
          <w:szCs w:val="32"/>
        </w:rPr>
        <w:t>向</w:t>
      </w:r>
      <w:r>
        <w:rPr>
          <w:rFonts w:hint="eastAsia" w:ascii="仿宋_GB2312" w:hAnsi="宋体" w:eastAsia="仿宋_GB2312"/>
          <w:sz w:val="32"/>
          <w:szCs w:val="32"/>
          <w:u w:val="single"/>
        </w:rPr>
        <w:t xml:space="preserve">                  </w:t>
      </w:r>
      <w:r>
        <w:rPr>
          <w:rFonts w:hint="eastAsia" w:ascii="仿宋_GB2312" w:hAnsi="宋体" w:eastAsia="仿宋_GB2312"/>
          <w:sz w:val="32"/>
          <w:szCs w:val="32"/>
        </w:rPr>
        <w:t>（许可方所在地/被许可方所在地/本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签署地/本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履行地……）具有管辖权的人民法院提起诉讼</w:t>
      </w:r>
      <w:r>
        <w:rPr>
          <w:rFonts w:hint="eastAsia" w:ascii="仿宋_GB2312" w:hAnsi="宋体" w:eastAsia="仿宋_GB2312"/>
          <w:sz w:val="32"/>
          <w:szCs w:val="32"/>
          <w:lang w:eastAsia="zh-CN"/>
        </w:rPr>
        <w:t>。</w:t>
      </w:r>
    </w:p>
    <w:p w14:paraId="55977788">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textAlignment w:val="auto"/>
        <w:rPr>
          <w:rFonts w:hint="eastAsia" w:ascii="仿宋_GB2312" w:hAnsi="宋体" w:eastAsia="仿宋_GB2312"/>
          <w:sz w:val="32"/>
          <w:szCs w:val="32"/>
        </w:rPr>
      </w:pPr>
      <w:r>
        <w:rPr>
          <w:rFonts w:hint="eastAsia" w:ascii="Times New Roman" w:eastAsia="仿宋_GB2312"/>
          <w:color w:val="000000"/>
          <w:spacing w:val="0"/>
          <w:sz w:val="32"/>
          <w:szCs w:val="32"/>
        </w:rPr>
        <w:t>（2）</w:t>
      </w:r>
      <w:r>
        <w:rPr>
          <w:rFonts w:hint="eastAsia" w:ascii="仿宋_GB2312" w:hAnsi="宋体" w:eastAsia="仿宋_GB2312"/>
          <w:sz w:val="32"/>
          <w:szCs w:val="32"/>
        </w:rPr>
        <w:t>提请</w:t>
      </w:r>
      <w:r>
        <w:rPr>
          <w:rFonts w:hint="eastAsia" w:ascii="仿宋_GB2312" w:hAnsi="宋体" w:eastAsia="仿宋_GB2312"/>
          <w:sz w:val="32"/>
          <w:szCs w:val="32"/>
          <w:u w:val="single"/>
        </w:rPr>
        <w:t xml:space="preserve">                   </w:t>
      </w:r>
      <w:r>
        <w:rPr>
          <w:rFonts w:hint="eastAsia" w:ascii="仿宋_GB2312" w:hAnsi="宋体" w:eastAsia="仿宋_GB2312"/>
          <w:sz w:val="32"/>
          <w:szCs w:val="32"/>
        </w:rPr>
        <w:t>仲裁委员会仲裁。</w:t>
      </w:r>
    </w:p>
    <w:p w14:paraId="215808B4">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textAlignment w:val="auto"/>
        <w:rPr>
          <w:rFonts w:ascii="仿宋_GB2312" w:hAnsi="宋体" w:eastAsia="仿宋_GB2312"/>
          <w:sz w:val="32"/>
          <w:szCs w:val="32"/>
          <w:u w:val="single"/>
        </w:rPr>
      </w:pPr>
      <w:r>
        <w:rPr>
          <w:rFonts w:hint="eastAsia" w:ascii="Times New Roman" w:eastAsia="仿宋_GB2312"/>
          <w:color w:val="000000"/>
          <w:spacing w:val="0"/>
          <w:sz w:val="32"/>
          <w:szCs w:val="32"/>
        </w:rPr>
        <w:t>（3）</w:t>
      </w:r>
      <w:r>
        <w:rPr>
          <w:rFonts w:ascii="仿宋_GB2312" w:hAnsi="宋体" w:eastAsia="仿宋_GB2312"/>
          <w:sz w:val="32"/>
          <w:szCs w:val="32"/>
          <w:u w:val="single"/>
        </w:rPr>
        <w:t xml:space="preserve">                                        </w:t>
      </w:r>
    </w:p>
    <w:bookmarkEnd w:id="12"/>
    <w:p w14:paraId="65905640">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第十</w:t>
      </w:r>
      <w:r>
        <w:rPr>
          <w:rFonts w:hint="eastAsia" w:ascii="黑体" w:hAnsi="黑体" w:eastAsia="黑体"/>
          <w:bCs/>
          <w:sz w:val="32"/>
          <w:szCs w:val="32"/>
          <w:lang w:val="en-US" w:eastAsia="zh-CN"/>
        </w:rPr>
        <w:t>六</w:t>
      </w:r>
      <w:r>
        <w:rPr>
          <w:rFonts w:hint="eastAsia" w:ascii="黑体" w:hAnsi="黑体" w:eastAsia="黑体"/>
          <w:bCs/>
          <w:sz w:val="32"/>
          <w:szCs w:val="32"/>
        </w:rPr>
        <w:t>条  协议的生效、变更与终止</w:t>
      </w:r>
    </w:p>
    <w:p w14:paraId="336206CE">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textAlignment w:val="auto"/>
        <w:rPr>
          <w:rFonts w:hint="eastAsia" w:ascii="仿宋_GB2312" w:hAnsi="宋体" w:eastAsia="仿宋_GB2312"/>
          <w:sz w:val="32"/>
          <w:szCs w:val="32"/>
        </w:rPr>
      </w:pPr>
      <w:r>
        <w:rPr>
          <w:rFonts w:hint="eastAsia" w:ascii="Times New Roman" w:eastAsia="仿宋_GB2312"/>
          <w:color w:val="000000"/>
          <w:sz w:val="32"/>
          <w:szCs w:val="32"/>
        </w:rPr>
        <w:t xml:space="preserve">1. </w:t>
      </w:r>
      <w:r>
        <w:rPr>
          <w:rFonts w:hint="eastAsia" w:ascii="仿宋_GB2312" w:hAnsi="宋体" w:eastAsia="仿宋_GB2312"/>
          <w:sz w:val="32"/>
          <w:szCs w:val="32"/>
        </w:rPr>
        <w:t>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自</w:t>
      </w:r>
      <w:r>
        <w:rPr>
          <w:rFonts w:hint="eastAsia" w:ascii="仿宋_GB2312" w:hAnsi="宋体" w:eastAsia="仿宋_GB2312"/>
          <w:sz w:val="32"/>
          <w:szCs w:val="32"/>
          <w:u w:val="single"/>
        </w:rPr>
        <w:t xml:space="preserve">                    </w:t>
      </w:r>
      <w:r>
        <w:rPr>
          <w:rFonts w:hint="eastAsia" w:ascii="仿宋_GB2312" w:hAnsi="宋体" w:eastAsia="仿宋_GB2312"/>
          <w:sz w:val="32"/>
          <w:szCs w:val="32"/>
        </w:rPr>
        <w:t>（双方签字盖章之日/……）起生效。本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一式</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rPr>
        <w:t>份，双方各持</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rPr>
        <w:t>份，每份具有同等法律效力。</w:t>
      </w:r>
    </w:p>
    <w:p w14:paraId="2A696B59">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textAlignment w:val="auto"/>
        <w:rPr>
          <w:rFonts w:hint="eastAsia" w:ascii="仿宋_GB2312" w:hAnsi="宋体" w:eastAsia="仿宋_GB2312"/>
          <w:sz w:val="32"/>
          <w:szCs w:val="32"/>
        </w:rPr>
      </w:pPr>
      <w:r>
        <w:rPr>
          <w:rFonts w:hint="eastAsia" w:ascii="Times New Roman" w:eastAsia="仿宋_GB2312"/>
          <w:color w:val="000000"/>
          <w:sz w:val="32"/>
          <w:szCs w:val="32"/>
        </w:rPr>
        <w:t xml:space="preserve">2. </w:t>
      </w:r>
      <w:r>
        <w:rPr>
          <w:rFonts w:hint="eastAsia" w:ascii="仿宋_GB2312" w:hAnsi="宋体" w:eastAsia="仿宋_GB2312"/>
          <w:sz w:val="32"/>
          <w:szCs w:val="32"/>
        </w:rPr>
        <w:t>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内容的任何修改或变更必须由双方书面签署同意。</w:t>
      </w:r>
    </w:p>
    <w:p w14:paraId="000F5108">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left"/>
        <w:textAlignment w:val="auto"/>
        <w:rPr>
          <w:rFonts w:hint="eastAsia" w:ascii="仿宋_GB2312" w:hAnsi="宋体" w:eastAsia="仿宋_GB2312"/>
          <w:sz w:val="32"/>
          <w:szCs w:val="32"/>
        </w:rPr>
      </w:pPr>
      <w:r>
        <w:rPr>
          <w:rFonts w:hint="eastAsia" w:ascii="Times New Roman" w:eastAsia="仿宋_GB2312"/>
          <w:color w:val="000000"/>
          <w:sz w:val="32"/>
          <w:szCs w:val="32"/>
        </w:rPr>
        <w:t xml:space="preserve">3. </w:t>
      </w:r>
      <w:r>
        <w:rPr>
          <w:rFonts w:hint="eastAsia" w:ascii="仿宋_GB2312" w:hAnsi="宋体" w:eastAsia="仿宋_GB2312"/>
          <w:sz w:val="32"/>
          <w:szCs w:val="32"/>
        </w:rPr>
        <w:t>除本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另有约定外，如果一方违反本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约定的义务，另一方有权书面通知违约方要求其履行本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约定的义务，并承担相应责任。如果违约方在收到书面通知的</w:t>
      </w:r>
      <w:r>
        <w:rPr>
          <w:rFonts w:hint="eastAsia" w:ascii="仿宋_GB2312" w:hAnsi="宋体" w:eastAsia="仿宋_GB2312"/>
          <w:sz w:val="32"/>
          <w:szCs w:val="32"/>
          <w:u w:val="single"/>
        </w:rPr>
        <w:t xml:space="preserve">   </w:t>
      </w:r>
      <w:r>
        <w:rPr>
          <w:rFonts w:hint="eastAsia" w:ascii="仿宋_GB2312" w:hAnsi="宋体" w:eastAsia="仿宋_GB2312"/>
          <w:sz w:val="32"/>
          <w:szCs w:val="32"/>
        </w:rPr>
        <w:t>日内仍未履行相关义务，那么守约方有权书面通知违约方终止本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w:t>
      </w:r>
    </w:p>
    <w:p w14:paraId="6F2242BD">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textAlignment w:val="auto"/>
        <w:rPr>
          <w:rFonts w:hint="eastAsia" w:ascii="仿宋_GB2312" w:hAnsi="宋体" w:eastAsia="仿宋_GB2312"/>
          <w:bCs/>
          <w:sz w:val="32"/>
          <w:szCs w:val="32"/>
          <w:lang w:val="en-GB"/>
        </w:rPr>
      </w:pPr>
      <w:r>
        <w:rPr>
          <w:rFonts w:hint="eastAsia" w:ascii="Times New Roman" w:eastAsia="仿宋_GB2312"/>
          <w:color w:val="000000"/>
          <w:sz w:val="32"/>
          <w:szCs w:val="32"/>
        </w:rPr>
        <w:t xml:space="preserve">4. </w:t>
      </w:r>
      <w:r>
        <w:rPr>
          <w:rFonts w:hint="eastAsia" w:ascii="仿宋_GB2312" w:hAnsi="宋体" w:eastAsia="仿宋_GB2312"/>
          <w:sz w:val="32"/>
          <w:szCs w:val="32"/>
        </w:rPr>
        <w:t>各方确认，本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以及本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中提及的任何文件组成了双方之间就本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项下合作事项而达成的完整的</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，且本</w:t>
      </w:r>
      <w:r>
        <w:rPr>
          <w:rFonts w:hint="eastAsia" w:ascii="仿宋_GB2312" w:hAnsi="黑体" w:eastAsia="仿宋_GB2312"/>
          <w:sz w:val="32"/>
          <w:szCs w:val="32"/>
          <w:lang w:val="en-US" w:eastAsia="zh-CN"/>
        </w:rPr>
        <w:t>协议</w:t>
      </w:r>
      <w:r>
        <w:rPr>
          <w:rFonts w:hint="eastAsia" w:ascii="仿宋_GB2312" w:hAnsi="宋体" w:eastAsia="仿宋_GB2312"/>
          <w:sz w:val="32"/>
          <w:szCs w:val="32"/>
        </w:rPr>
        <w:t>取代了双方在之前就该事项所达成的或存在于双方之间的所有口头或书面的安排、合同、草案、保证、陈述或谅解。</w:t>
      </w:r>
    </w:p>
    <w:p w14:paraId="1F37EC70">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第十</w:t>
      </w:r>
      <w:r>
        <w:rPr>
          <w:rFonts w:hint="eastAsia" w:ascii="黑体" w:hAnsi="黑体" w:eastAsia="黑体"/>
          <w:bCs/>
          <w:sz w:val="32"/>
          <w:szCs w:val="32"/>
          <w:lang w:val="en-US" w:eastAsia="zh-CN"/>
        </w:rPr>
        <w:t>七</w:t>
      </w:r>
      <w:r>
        <w:rPr>
          <w:rFonts w:hint="eastAsia" w:ascii="黑体" w:hAnsi="黑体" w:eastAsia="黑体"/>
          <w:bCs/>
          <w:sz w:val="32"/>
          <w:szCs w:val="32"/>
        </w:rPr>
        <w:t>条  其他条款</w:t>
      </w:r>
    </w:p>
    <w:p w14:paraId="33F73BAD">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u w:val="single"/>
        </w:rPr>
      </w:pPr>
      <w:r>
        <w:rPr>
          <w:rFonts w:ascii="Times New Roman" w:eastAsia="仿宋_GB2312"/>
          <w:color w:val="000000"/>
          <w:sz w:val="32"/>
          <w:szCs w:val="32"/>
          <w:u w:val="single"/>
        </w:rPr>
        <w:t xml:space="preserve">                  </w:t>
      </w:r>
      <w:r>
        <w:rPr>
          <w:rFonts w:hint="eastAsia" w:ascii="Times New Roman" w:eastAsia="仿宋_GB2312"/>
          <w:color w:val="000000"/>
          <w:sz w:val="32"/>
          <w:szCs w:val="32"/>
          <w:u w:val="single"/>
          <w:lang w:val="en-US" w:eastAsia="zh-CN"/>
        </w:rPr>
        <w:t xml:space="preserve">        </w:t>
      </w:r>
      <w:r>
        <w:rPr>
          <w:rFonts w:ascii="Times New Roman" w:eastAsia="仿宋_GB2312"/>
          <w:color w:val="000000"/>
          <w:sz w:val="32"/>
          <w:szCs w:val="32"/>
          <w:u w:val="single"/>
        </w:rPr>
        <w:t xml:space="preserve">                  </w:t>
      </w:r>
    </w:p>
    <w:p w14:paraId="1ECAA6CC">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u w:val="single"/>
        </w:rPr>
      </w:pPr>
    </w:p>
    <w:p w14:paraId="3D6A8430">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u w:val="single"/>
        </w:rPr>
      </w:pPr>
    </w:p>
    <w:p w14:paraId="5A3E7C50">
      <w:pPr>
        <w:keepNext w:val="0"/>
        <w:keepLines w:val="0"/>
        <w:pageBreakBefore w:val="0"/>
        <w:widowControl/>
        <w:kinsoku/>
        <w:wordWrap w:val="0"/>
        <w:overflowPunct/>
        <w:topLinePunct w:val="0"/>
        <w:autoSpaceDE/>
        <w:autoSpaceDN/>
        <w:bidi w:val="0"/>
        <w:adjustRightInd w:val="0"/>
        <w:snapToGrid w:val="0"/>
        <w:spacing w:after="0" w:line="560" w:lineRule="exact"/>
        <w:ind w:left="0" w:firstLine="584" w:firstLineChars="200"/>
        <w:jc w:val="right"/>
        <w:textAlignment w:val="auto"/>
        <w:rPr>
          <w:rFonts w:hint="eastAsia" w:ascii="宋体" w:hAnsi="宋体" w:eastAsia="宋体"/>
          <w:bCs/>
          <w:sz w:val="28"/>
          <w:szCs w:val="28"/>
          <w:lang w:val="en-GB"/>
        </w:rPr>
      </w:pPr>
      <w:r>
        <w:rPr>
          <w:rFonts w:hint="eastAsia" w:ascii="宋体" w:hAnsi="宋体" w:eastAsia="宋体"/>
          <w:bCs/>
          <w:sz w:val="28"/>
          <w:szCs w:val="28"/>
          <w:lang w:val="en-GB"/>
        </w:rPr>
        <w:t>（本页以下无正文，下接本协议附件及签署页）</w:t>
      </w:r>
    </w:p>
    <w:p w14:paraId="43C4FB77">
      <w:pPr>
        <w:keepNext w:val="0"/>
        <w:keepLines w:val="0"/>
        <w:pageBreakBefore w:val="0"/>
        <w:widowControl/>
        <w:kinsoku/>
        <w:wordWrap w:val="0"/>
        <w:overflowPunct/>
        <w:topLinePunct w:val="0"/>
        <w:autoSpaceDE/>
        <w:autoSpaceDN/>
        <w:bidi w:val="0"/>
        <w:adjustRightInd w:val="0"/>
        <w:snapToGrid w:val="0"/>
        <w:spacing w:after="0" w:line="560" w:lineRule="exact"/>
        <w:ind w:left="0" w:firstLine="584" w:firstLineChars="200"/>
        <w:jc w:val="center"/>
        <w:textAlignment w:val="auto"/>
        <w:rPr>
          <w:rFonts w:hint="eastAsia" w:ascii="宋体" w:hAnsi="宋体" w:eastAsia="宋体"/>
          <w:bCs/>
          <w:sz w:val="28"/>
          <w:szCs w:val="28"/>
          <w:lang w:val="en-GB"/>
        </w:rPr>
      </w:pPr>
    </w:p>
    <w:p w14:paraId="4225126A">
      <w:pPr>
        <w:keepNext w:val="0"/>
        <w:keepLines w:val="0"/>
        <w:pageBreakBefore w:val="0"/>
        <w:widowControl/>
        <w:kinsoku/>
        <w:wordWrap w:val="0"/>
        <w:overflowPunct/>
        <w:topLinePunct w:val="0"/>
        <w:autoSpaceDE/>
        <w:autoSpaceDN/>
        <w:bidi w:val="0"/>
        <w:adjustRightInd w:val="0"/>
        <w:snapToGrid w:val="0"/>
        <w:spacing w:after="0" w:line="560" w:lineRule="exact"/>
        <w:ind w:left="0" w:firstLine="584" w:firstLineChars="200"/>
        <w:jc w:val="center"/>
        <w:textAlignment w:val="auto"/>
        <w:rPr>
          <w:rFonts w:hint="eastAsia" w:ascii="宋体" w:hAnsi="宋体" w:eastAsia="宋体"/>
          <w:bCs/>
          <w:sz w:val="28"/>
          <w:szCs w:val="28"/>
          <w:lang w:val="en-GB"/>
        </w:rPr>
        <w:sectPr>
          <w:headerReference r:id="rId8" w:type="first"/>
          <w:footerReference r:id="rId11" w:type="first"/>
          <w:headerReference r:id="rId6" w:type="default"/>
          <w:footerReference r:id="rId9" w:type="default"/>
          <w:headerReference r:id="rId7" w:type="even"/>
          <w:footerReference r:id="rId10" w:type="even"/>
          <w:pgSz w:w="11906" w:h="16838"/>
          <w:pgMar w:top="1440" w:right="1800" w:bottom="1440" w:left="1800" w:header="850" w:footer="992" w:gutter="0"/>
          <w:pgNumType w:start="1"/>
          <w:cols w:space="720" w:num="1"/>
          <w:titlePg/>
          <w:docGrid w:linePitch="326" w:charSpace="0"/>
        </w:sectPr>
      </w:pPr>
    </w:p>
    <w:p w14:paraId="110785C0">
      <w:pPr>
        <w:keepNext w:val="0"/>
        <w:keepLines w:val="0"/>
        <w:pageBreakBefore w:val="0"/>
        <w:widowControl/>
        <w:kinsoku/>
        <w:wordWrap w:val="0"/>
        <w:overflowPunct/>
        <w:topLinePunct w:val="0"/>
        <w:autoSpaceDE/>
        <w:autoSpaceDN/>
        <w:bidi w:val="0"/>
        <w:adjustRightInd w:val="0"/>
        <w:snapToGrid w:val="0"/>
        <w:spacing w:after="0" w:line="560" w:lineRule="exact"/>
        <w:ind w:left="0" w:firstLine="664" w:firstLineChars="200"/>
        <w:jc w:val="center"/>
        <w:textAlignment w:val="auto"/>
        <w:rPr>
          <w:rFonts w:hint="eastAsia" w:ascii="仿宋_GB2312" w:hAnsi="宋体" w:eastAsia="仿宋_GB2312"/>
          <w:sz w:val="32"/>
          <w:szCs w:val="32"/>
        </w:rPr>
      </w:pPr>
      <w:r>
        <w:rPr>
          <w:rFonts w:hint="eastAsia" w:ascii="仿宋_GB2312" w:hAnsi="宋体" w:eastAsia="仿宋_GB2312"/>
          <w:sz w:val="32"/>
          <w:szCs w:val="32"/>
        </w:rPr>
        <w:t>（本页无正文，为</w:t>
      </w:r>
      <w:r>
        <w:rPr>
          <w:rFonts w:hint="eastAsia" w:ascii="仿宋_GB2312" w:hAnsi="宋体" w:eastAsia="仿宋_GB2312"/>
          <w:bCs/>
          <w:sz w:val="32"/>
          <w:szCs w:val="32"/>
          <w:lang w:val="en-GB"/>
        </w:rPr>
        <w:t>《专利池许可协议》</w:t>
      </w:r>
      <w:r>
        <w:rPr>
          <w:rFonts w:hint="eastAsia" w:ascii="仿宋_GB2312" w:hAnsi="宋体" w:eastAsia="仿宋_GB2312"/>
          <w:sz w:val="32"/>
          <w:szCs w:val="32"/>
        </w:rPr>
        <w:t>的签署页）</w:t>
      </w:r>
    </w:p>
    <w:p w14:paraId="43103D0F">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32"/>
        </w:rPr>
      </w:pPr>
    </w:p>
    <w:p w14:paraId="00FE6B21">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32"/>
        </w:rPr>
      </w:pPr>
    </w:p>
    <w:p w14:paraId="17C6161E">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32"/>
        </w:rPr>
      </w:pPr>
    </w:p>
    <w:p w14:paraId="14DAF92E">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r>
        <w:rPr>
          <w:rFonts w:hint="eastAsia" w:ascii="Times New Roman" w:eastAsia="仿宋_GB2312"/>
          <w:color w:val="000000"/>
          <w:sz w:val="32"/>
          <w:szCs w:val="32"/>
        </w:rPr>
        <w:t>许可方（签章）：________________________</w:t>
      </w:r>
    </w:p>
    <w:p w14:paraId="60DED72D">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r>
        <w:rPr>
          <w:rFonts w:hint="eastAsia" w:ascii="Times New Roman" w:eastAsia="仿宋_GB2312"/>
          <w:color w:val="000000"/>
          <w:sz w:val="32"/>
          <w:szCs w:val="32"/>
        </w:rPr>
        <w:t>代表人签章：________________________</w:t>
      </w:r>
    </w:p>
    <w:p w14:paraId="39FD7D6B">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r>
        <w:rPr>
          <w:rFonts w:hint="eastAsia" w:ascii="Times New Roman" w:eastAsia="仿宋_GB2312"/>
          <w:color w:val="000000"/>
          <w:sz w:val="32"/>
          <w:szCs w:val="32"/>
        </w:rPr>
        <w:t>日期：______年______月______日</w:t>
      </w:r>
    </w:p>
    <w:p w14:paraId="5A692EC0">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p>
    <w:p w14:paraId="24B6524C">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p>
    <w:p w14:paraId="45907372">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p>
    <w:p w14:paraId="3D2FEC83">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p>
    <w:p w14:paraId="4DD8AA17">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r>
        <w:rPr>
          <w:rFonts w:hint="eastAsia" w:ascii="Times New Roman" w:eastAsia="仿宋_GB2312"/>
          <w:color w:val="000000"/>
          <w:sz w:val="32"/>
          <w:szCs w:val="32"/>
        </w:rPr>
        <w:t>被许可方（签章）：________________________</w:t>
      </w:r>
    </w:p>
    <w:p w14:paraId="12F28060">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r>
        <w:rPr>
          <w:rFonts w:hint="eastAsia" w:ascii="Times New Roman" w:eastAsia="仿宋_GB2312"/>
          <w:color w:val="000000"/>
          <w:sz w:val="32"/>
          <w:szCs w:val="32"/>
        </w:rPr>
        <w:t>代表人签章：________________________</w:t>
      </w:r>
    </w:p>
    <w:p w14:paraId="50932BB0">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r>
        <w:rPr>
          <w:rFonts w:hint="eastAsia" w:ascii="Times New Roman" w:eastAsia="仿宋_GB2312"/>
          <w:color w:val="000000"/>
          <w:sz w:val="32"/>
          <w:szCs w:val="32"/>
        </w:rPr>
        <w:t>日期：______年______月______日</w:t>
      </w:r>
    </w:p>
    <w:p w14:paraId="5076111F">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ascii="Times New Roman" w:eastAsia="仿宋_GB2312"/>
          <w:color w:val="000000"/>
          <w:sz w:val="32"/>
          <w:szCs w:val="32"/>
        </w:rPr>
      </w:pPr>
    </w:p>
    <w:p w14:paraId="5BD53FAC">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32"/>
        </w:rPr>
      </w:pPr>
    </w:p>
    <w:p w14:paraId="2CD44B70">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32"/>
        </w:rPr>
      </w:pPr>
    </w:p>
    <w:p w14:paraId="2276AFDB">
      <w:pPr>
        <w:keepNext w:val="0"/>
        <w:keepLines w:val="0"/>
        <w:pageBreakBefore w:val="0"/>
        <w:widowControl/>
        <w:kinsoku/>
        <w:wordWrap w:val="0"/>
        <w:overflowPunct/>
        <w:topLinePunct w:val="0"/>
        <w:autoSpaceDE/>
        <w:autoSpaceDN/>
        <w:bidi w:val="0"/>
        <w:spacing w:after="0" w:line="560" w:lineRule="exact"/>
        <w:ind w:left="0" w:firstLine="624" w:firstLineChars="200"/>
        <w:jc w:val="left"/>
        <w:textAlignment w:val="auto"/>
        <w:rPr>
          <w:rFonts w:hint="eastAsia" w:ascii="宋体" w:hAnsi="宋体" w:eastAsia="宋体"/>
          <w:sz w:val="30"/>
        </w:rPr>
      </w:pPr>
      <w:r>
        <w:rPr>
          <w:rFonts w:ascii="宋体" w:hAnsi="宋体" w:eastAsia="宋体"/>
          <w:sz w:val="30"/>
        </w:rPr>
        <w:br w:type="page"/>
      </w:r>
    </w:p>
    <w:p w14:paraId="0514B8C0">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textAlignment w:val="auto"/>
        <w:outlineLvl w:val="0"/>
        <w:rPr>
          <w:rFonts w:hint="eastAsia" w:ascii="黑体" w:hAnsi="黑体" w:eastAsia="黑体"/>
          <w:bCs/>
          <w:sz w:val="32"/>
          <w:szCs w:val="32"/>
        </w:rPr>
      </w:pPr>
      <w:r>
        <w:rPr>
          <w:rFonts w:hint="eastAsia" w:ascii="黑体" w:hAnsi="黑体" w:eastAsia="黑体"/>
          <w:bCs/>
          <w:sz w:val="32"/>
          <w:szCs w:val="32"/>
        </w:rPr>
        <w:t>附件 XXX专利池清单</w:t>
      </w:r>
    </w:p>
    <w:p w14:paraId="261AB2B6">
      <w:pPr>
        <w:keepNext w:val="0"/>
        <w:keepLines w:val="0"/>
        <w:pageBreakBefore w:val="0"/>
        <w:kinsoku/>
        <w:wordWrap w:val="0"/>
        <w:overflowPunct/>
        <w:topLinePunct w:val="0"/>
        <w:autoSpaceDE/>
        <w:autoSpaceDN/>
        <w:bidi w:val="0"/>
        <w:spacing w:after="0" w:line="560" w:lineRule="exact"/>
        <w:ind w:left="0" w:firstLine="664" w:firstLineChars="200"/>
        <w:textAlignment w:val="auto"/>
        <w:rPr>
          <w:rFonts w:hint="eastAsia" w:ascii="仿宋_GB2312" w:hAnsi="宋体" w:eastAsia="仿宋_GB2312"/>
          <w:sz w:val="32"/>
          <w:szCs w:val="32"/>
        </w:rPr>
      </w:pPr>
    </w:p>
    <w:tbl>
      <w:tblPr>
        <w:tblStyle w:val="38"/>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6"/>
        <w:gridCol w:w="1428"/>
        <w:gridCol w:w="1193"/>
        <w:gridCol w:w="1271"/>
        <w:gridCol w:w="1229"/>
        <w:gridCol w:w="1590"/>
        <w:gridCol w:w="1422"/>
      </w:tblGrid>
      <w:tr w14:paraId="6273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blHeader/>
          <w:jc w:val="center"/>
        </w:trPr>
        <w:tc>
          <w:tcPr>
            <w:tcW w:w="1346" w:type="dxa"/>
            <w:shd w:val="clear" w:color="auto" w:fill="auto"/>
            <w:vAlign w:val="center"/>
          </w:tcPr>
          <w:p w14:paraId="79270203">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hint="eastAsia" w:ascii="宋体" w:hAnsi="宋体" w:eastAsia="宋体"/>
                <w:b/>
                <w:kern w:val="0"/>
                <w:sz w:val="21"/>
                <w:szCs w:val="32"/>
              </w:rPr>
            </w:pPr>
            <w:r>
              <w:rPr>
                <w:rFonts w:hint="eastAsia" w:ascii="宋体" w:hAnsi="宋体" w:eastAsia="宋体"/>
                <w:b/>
                <w:kern w:val="0"/>
                <w:sz w:val="21"/>
                <w:szCs w:val="32"/>
              </w:rPr>
              <w:t>专利名称</w:t>
            </w:r>
          </w:p>
        </w:tc>
        <w:tc>
          <w:tcPr>
            <w:tcW w:w="1428" w:type="dxa"/>
            <w:shd w:val="clear" w:color="auto" w:fill="auto"/>
            <w:vAlign w:val="center"/>
          </w:tcPr>
          <w:p w14:paraId="0CACF7B3">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hint="eastAsia" w:ascii="宋体" w:hAnsi="宋体" w:eastAsia="宋体"/>
                <w:b/>
                <w:kern w:val="0"/>
                <w:sz w:val="21"/>
                <w:szCs w:val="32"/>
              </w:rPr>
            </w:pPr>
            <w:r>
              <w:rPr>
                <w:rFonts w:hint="eastAsia" w:ascii="宋体" w:hAnsi="宋体" w:eastAsia="宋体" w:cs="Times New Roman"/>
                <w:b/>
                <w:kern w:val="0"/>
                <w:sz w:val="21"/>
                <w:szCs w:val="32"/>
                <w14:ligatures w14:val="none"/>
              </w:rPr>
              <w:t>专利</w:t>
            </w:r>
            <w:r>
              <w:rPr>
                <w:rFonts w:hint="eastAsia" w:ascii="宋体" w:hAnsi="宋体" w:eastAsia="宋体" w:cs="Times New Roman"/>
                <w:b/>
                <w:kern w:val="0"/>
                <w:sz w:val="21"/>
                <w:szCs w:val="32"/>
                <w:lang w:val="en-US" w:eastAsia="zh-CN"/>
                <w14:ligatures w14:val="none"/>
              </w:rPr>
              <w:t>公开/公告</w:t>
            </w:r>
            <w:r>
              <w:rPr>
                <w:rFonts w:hint="eastAsia" w:ascii="宋体" w:hAnsi="宋体" w:eastAsia="宋体" w:cs="Times New Roman"/>
                <w:b/>
                <w:kern w:val="0"/>
                <w:sz w:val="21"/>
                <w:szCs w:val="32"/>
                <w14:ligatures w14:val="none"/>
              </w:rPr>
              <w:t>号</w:t>
            </w:r>
          </w:p>
        </w:tc>
        <w:tc>
          <w:tcPr>
            <w:tcW w:w="1193" w:type="dxa"/>
            <w:shd w:val="clear" w:color="auto" w:fill="auto"/>
            <w:vAlign w:val="center"/>
          </w:tcPr>
          <w:p w14:paraId="2281D553">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hint="eastAsia" w:ascii="宋体" w:hAnsi="宋体" w:eastAsia="宋体"/>
                <w:b/>
                <w:kern w:val="0"/>
                <w:sz w:val="21"/>
                <w:szCs w:val="32"/>
              </w:rPr>
            </w:pPr>
            <w:r>
              <w:rPr>
                <w:rFonts w:hint="eastAsia" w:ascii="宋体" w:hAnsi="宋体" w:eastAsia="宋体"/>
                <w:b/>
                <w:kern w:val="0"/>
                <w:sz w:val="21"/>
                <w:szCs w:val="32"/>
              </w:rPr>
              <w:t>申请日</w:t>
            </w:r>
          </w:p>
        </w:tc>
        <w:tc>
          <w:tcPr>
            <w:tcW w:w="1271" w:type="dxa"/>
            <w:shd w:val="clear" w:color="auto" w:fill="auto"/>
            <w:vAlign w:val="center"/>
          </w:tcPr>
          <w:p w14:paraId="7AE87375">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hint="eastAsia" w:ascii="宋体" w:hAnsi="宋体" w:eastAsia="宋体"/>
                <w:b/>
                <w:kern w:val="0"/>
                <w:sz w:val="21"/>
                <w:szCs w:val="32"/>
              </w:rPr>
            </w:pPr>
            <w:r>
              <w:rPr>
                <w:rFonts w:hint="eastAsia" w:ascii="宋体" w:hAnsi="宋体" w:eastAsia="宋体"/>
                <w:b/>
                <w:kern w:val="0"/>
                <w:sz w:val="21"/>
                <w:szCs w:val="32"/>
              </w:rPr>
              <w:t>授权日</w:t>
            </w:r>
          </w:p>
        </w:tc>
        <w:tc>
          <w:tcPr>
            <w:tcW w:w="1229" w:type="dxa"/>
            <w:shd w:val="clear" w:color="auto" w:fill="auto"/>
            <w:vAlign w:val="center"/>
          </w:tcPr>
          <w:p w14:paraId="3D2AD854">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hint="eastAsia" w:ascii="宋体" w:hAnsi="宋体" w:eastAsia="宋体"/>
                <w:b/>
                <w:kern w:val="0"/>
                <w:sz w:val="21"/>
                <w:szCs w:val="32"/>
              </w:rPr>
            </w:pPr>
            <w:r>
              <w:rPr>
                <w:rFonts w:hint="eastAsia" w:ascii="宋体" w:hAnsi="宋体" w:eastAsia="宋体"/>
                <w:b/>
                <w:kern w:val="0"/>
                <w:sz w:val="21"/>
                <w:szCs w:val="32"/>
              </w:rPr>
              <w:t>专利类型</w:t>
            </w:r>
          </w:p>
        </w:tc>
        <w:tc>
          <w:tcPr>
            <w:tcW w:w="1590" w:type="dxa"/>
            <w:shd w:val="clear" w:color="auto" w:fill="auto"/>
            <w:vAlign w:val="center"/>
          </w:tcPr>
          <w:p w14:paraId="54D93A1B">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hint="eastAsia" w:ascii="宋体" w:hAnsi="宋体" w:eastAsia="宋体"/>
                <w:b/>
                <w:kern w:val="0"/>
                <w:sz w:val="21"/>
                <w:szCs w:val="32"/>
              </w:rPr>
            </w:pPr>
            <w:r>
              <w:rPr>
                <w:rFonts w:hint="eastAsia" w:ascii="宋体" w:hAnsi="宋体" w:eastAsia="宋体"/>
                <w:b/>
                <w:kern w:val="0"/>
                <w:sz w:val="21"/>
                <w:szCs w:val="32"/>
              </w:rPr>
              <w:t>当前法律状态</w:t>
            </w:r>
          </w:p>
        </w:tc>
        <w:tc>
          <w:tcPr>
            <w:tcW w:w="1422" w:type="dxa"/>
            <w:shd w:val="clear" w:color="auto" w:fill="auto"/>
            <w:vAlign w:val="center"/>
          </w:tcPr>
          <w:p w14:paraId="24DA1D05">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hint="eastAsia" w:ascii="宋体" w:hAnsi="宋体" w:eastAsia="宋体"/>
                <w:b/>
                <w:kern w:val="0"/>
                <w:sz w:val="21"/>
                <w:szCs w:val="32"/>
              </w:rPr>
            </w:pPr>
            <w:r>
              <w:rPr>
                <w:rFonts w:hint="eastAsia" w:ascii="宋体" w:hAnsi="宋体" w:eastAsia="宋体" w:cs="Times New Roman"/>
                <w:b/>
                <w:kern w:val="0"/>
                <w:sz w:val="21"/>
                <w:szCs w:val="32"/>
                <w:lang w:val="en-US" w:eastAsia="zh-CN"/>
                <w14:ligatures w14:val="none"/>
              </w:rPr>
              <w:t>预计届满日</w:t>
            </w:r>
          </w:p>
        </w:tc>
      </w:tr>
      <w:tr w14:paraId="01B0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blHeader/>
          <w:jc w:val="center"/>
        </w:trPr>
        <w:tc>
          <w:tcPr>
            <w:tcW w:w="1346" w:type="dxa"/>
            <w:shd w:val="clear" w:color="auto" w:fill="auto"/>
            <w:vAlign w:val="center"/>
          </w:tcPr>
          <w:p w14:paraId="760E0C69">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428" w:type="dxa"/>
            <w:shd w:val="clear" w:color="auto" w:fill="auto"/>
            <w:vAlign w:val="center"/>
          </w:tcPr>
          <w:p w14:paraId="0B3EB7B2">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193" w:type="dxa"/>
            <w:shd w:val="clear" w:color="auto" w:fill="auto"/>
            <w:vAlign w:val="center"/>
          </w:tcPr>
          <w:p w14:paraId="79E16FB7">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271" w:type="dxa"/>
            <w:shd w:val="clear" w:color="auto" w:fill="auto"/>
            <w:vAlign w:val="center"/>
          </w:tcPr>
          <w:p w14:paraId="0DC6F45A">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229" w:type="dxa"/>
            <w:shd w:val="clear" w:color="auto" w:fill="auto"/>
            <w:vAlign w:val="center"/>
          </w:tcPr>
          <w:p w14:paraId="6EF401E2">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590" w:type="dxa"/>
            <w:shd w:val="clear" w:color="auto" w:fill="auto"/>
            <w:vAlign w:val="center"/>
          </w:tcPr>
          <w:p w14:paraId="4715F550">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422" w:type="dxa"/>
            <w:shd w:val="clear" w:color="auto" w:fill="auto"/>
            <w:vAlign w:val="center"/>
          </w:tcPr>
          <w:p w14:paraId="1AB80368">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r>
      <w:tr w14:paraId="73B0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blHeader/>
          <w:jc w:val="center"/>
        </w:trPr>
        <w:tc>
          <w:tcPr>
            <w:tcW w:w="1346" w:type="dxa"/>
            <w:shd w:val="clear" w:color="auto" w:fill="auto"/>
            <w:vAlign w:val="center"/>
          </w:tcPr>
          <w:p w14:paraId="57686623">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428" w:type="dxa"/>
            <w:shd w:val="clear" w:color="auto" w:fill="auto"/>
            <w:vAlign w:val="center"/>
          </w:tcPr>
          <w:p w14:paraId="13480C31">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193" w:type="dxa"/>
            <w:shd w:val="clear" w:color="auto" w:fill="auto"/>
            <w:vAlign w:val="center"/>
          </w:tcPr>
          <w:p w14:paraId="6D3A2C94">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271" w:type="dxa"/>
            <w:shd w:val="clear" w:color="auto" w:fill="auto"/>
            <w:vAlign w:val="center"/>
          </w:tcPr>
          <w:p w14:paraId="73920DEA">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229" w:type="dxa"/>
            <w:shd w:val="clear" w:color="auto" w:fill="auto"/>
            <w:vAlign w:val="center"/>
          </w:tcPr>
          <w:p w14:paraId="1C36CA43">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590" w:type="dxa"/>
            <w:shd w:val="clear" w:color="auto" w:fill="auto"/>
            <w:vAlign w:val="center"/>
          </w:tcPr>
          <w:p w14:paraId="3AFDE6BD">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422" w:type="dxa"/>
            <w:shd w:val="clear" w:color="auto" w:fill="auto"/>
            <w:vAlign w:val="center"/>
          </w:tcPr>
          <w:p w14:paraId="486CC95C">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r>
      <w:tr w14:paraId="7985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blHeader/>
          <w:jc w:val="center"/>
        </w:trPr>
        <w:tc>
          <w:tcPr>
            <w:tcW w:w="1346" w:type="dxa"/>
            <w:shd w:val="clear" w:color="auto" w:fill="auto"/>
            <w:vAlign w:val="center"/>
          </w:tcPr>
          <w:p w14:paraId="0B1FCC92">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428" w:type="dxa"/>
            <w:shd w:val="clear" w:color="auto" w:fill="auto"/>
            <w:vAlign w:val="center"/>
          </w:tcPr>
          <w:p w14:paraId="648EEEA9">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193" w:type="dxa"/>
            <w:shd w:val="clear" w:color="auto" w:fill="auto"/>
            <w:vAlign w:val="center"/>
          </w:tcPr>
          <w:p w14:paraId="3A093B46">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271" w:type="dxa"/>
            <w:shd w:val="clear" w:color="auto" w:fill="auto"/>
            <w:vAlign w:val="center"/>
          </w:tcPr>
          <w:p w14:paraId="63DBBA9A">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229" w:type="dxa"/>
            <w:shd w:val="clear" w:color="auto" w:fill="auto"/>
            <w:vAlign w:val="center"/>
          </w:tcPr>
          <w:p w14:paraId="6B176D23">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590" w:type="dxa"/>
            <w:shd w:val="clear" w:color="auto" w:fill="auto"/>
            <w:vAlign w:val="center"/>
          </w:tcPr>
          <w:p w14:paraId="45BAA316">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422" w:type="dxa"/>
            <w:shd w:val="clear" w:color="auto" w:fill="auto"/>
            <w:vAlign w:val="center"/>
          </w:tcPr>
          <w:p w14:paraId="0C834141">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r>
      <w:tr w14:paraId="7DE1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blHeader/>
          <w:jc w:val="center"/>
        </w:trPr>
        <w:tc>
          <w:tcPr>
            <w:tcW w:w="1346" w:type="dxa"/>
            <w:shd w:val="clear" w:color="auto" w:fill="auto"/>
            <w:vAlign w:val="center"/>
          </w:tcPr>
          <w:p w14:paraId="1C904616">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428" w:type="dxa"/>
            <w:shd w:val="clear" w:color="auto" w:fill="auto"/>
            <w:vAlign w:val="center"/>
          </w:tcPr>
          <w:p w14:paraId="2F88DB1D">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193" w:type="dxa"/>
            <w:shd w:val="clear" w:color="auto" w:fill="auto"/>
            <w:vAlign w:val="center"/>
          </w:tcPr>
          <w:p w14:paraId="4908BC4C">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271" w:type="dxa"/>
            <w:shd w:val="clear" w:color="auto" w:fill="auto"/>
            <w:vAlign w:val="center"/>
          </w:tcPr>
          <w:p w14:paraId="124D6D6E">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229" w:type="dxa"/>
            <w:shd w:val="clear" w:color="auto" w:fill="auto"/>
            <w:vAlign w:val="center"/>
          </w:tcPr>
          <w:p w14:paraId="4C03DDD4">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590" w:type="dxa"/>
            <w:shd w:val="clear" w:color="auto" w:fill="auto"/>
            <w:vAlign w:val="center"/>
          </w:tcPr>
          <w:p w14:paraId="4EAB1733">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c>
          <w:tcPr>
            <w:tcW w:w="1422" w:type="dxa"/>
            <w:shd w:val="clear" w:color="auto" w:fill="auto"/>
            <w:vAlign w:val="center"/>
          </w:tcPr>
          <w:p w14:paraId="453103E7">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hint="eastAsia" w:ascii="宋体" w:hAnsi="宋体" w:eastAsia="宋体"/>
                <w:b/>
                <w:kern w:val="0"/>
                <w:sz w:val="20"/>
                <w:szCs w:val="28"/>
              </w:rPr>
            </w:pPr>
          </w:p>
        </w:tc>
      </w:tr>
    </w:tbl>
    <w:p w14:paraId="3DCCA480">
      <w:pPr>
        <w:keepNext w:val="0"/>
        <w:keepLines w:val="0"/>
        <w:pageBreakBefore w:val="0"/>
        <w:widowControl/>
        <w:kinsoku/>
        <w:wordWrap w:val="0"/>
        <w:overflowPunct/>
        <w:topLinePunct w:val="0"/>
        <w:autoSpaceDE/>
        <w:autoSpaceDN/>
        <w:bidi w:val="0"/>
        <w:spacing w:after="0" w:line="560" w:lineRule="exact"/>
        <w:ind w:left="0" w:firstLine="504" w:firstLineChars="200"/>
        <w:jc w:val="left"/>
        <w:textAlignment w:val="auto"/>
      </w:pPr>
    </w:p>
    <w:p w14:paraId="7C5BB2A1">
      <w:pPr>
        <w:keepNext w:val="0"/>
        <w:keepLines w:val="0"/>
        <w:pageBreakBefore w:val="0"/>
        <w:kinsoku/>
        <w:wordWrap w:val="0"/>
        <w:overflowPunct/>
        <w:topLinePunct w:val="0"/>
        <w:autoSpaceDE/>
        <w:autoSpaceDN/>
        <w:bidi w:val="0"/>
        <w:spacing w:after="0" w:line="560" w:lineRule="exact"/>
        <w:ind w:left="0" w:firstLine="504" w:firstLineChars="200"/>
        <w:textAlignment w:val="auto"/>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FE2324-EE1D-4791-9FAC-B0561EC9D7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AF0E364E-5EC6-4E43-B9F6-B7DDC86DA6CE}"/>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3" w:fontKey="{F670BB4E-9717-44A8-8D84-58BCC9BD3B6C}"/>
  </w:font>
  <w:font w:name="仿宋_GB2312">
    <w:panose1 w:val="02010609030101010101"/>
    <w:charset w:val="86"/>
    <w:family w:val="modern"/>
    <w:pitch w:val="default"/>
    <w:sig w:usb0="00000001" w:usb1="080E0000" w:usb2="00000000" w:usb3="00000000" w:csb0="00040000" w:csb1="00000000"/>
    <w:embedRegular r:id="rId4" w:fontKey="{B893C65B-5294-4BC7-8CD6-6844B1A5C51A}"/>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6484A">
    <w:pPr>
      <w:pStyle w:val="12"/>
      <w:jc w:val="center"/>
      <w:rPr>
        <w:rFonts w:hint="eastAsia"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10</w:t>
    </w:r>
    <w:r>
      <w:rPr>
        <w:rFonts w:ascii="宋体" w:hAnsi="宋体" w:eastAsia="宋体"/>
        <w:sz w:val="24"/>
        <w:szCs w:val="24"/>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6BB2C">
    <w:pP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9713906"/>
      <w:docPartObj>
        <w:docPartGallery w:val="autotext"/>
      </w:docPartObj>
    </w:sdtPr>
    <w:sdtEndPr>
      <w:rPr>
        <w:rFonts w:ascii="宋体" w:hAnsi="宋体" w:eastAsia="宋体"/>
        <w:sz w:val="24"/>
        <w:szCs w:val="24"/>
      </w:rPr>
    </w:sdtEndPr>
    <w:sdtContent>
      <w:p w14:paraId="0C22C9B1">
        <w:pPr>
          <w:pStyle w:val="12"/>
          <w:jc w:val="center"/>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2</w:t>
        </w:r>
        <w:r>
          <w:rPr>
            <w:rFonts w:ascii="宋体" w:hAnsi="宋体" w:eastAsia="宋体"/>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96369">
    <w:pPr>
      <w:pStyle w:val="13"/>
    </w:pPr>
    <w:r>
      <w:rPr>
        <w:sz w:val="18"/>
      </w:rPr>
      <w:pict>
        <v:shape id="PowerPlusWaterMarkObject458718" o:spid="_x0000_s4097" o:spt="136" type="#_x0000_t136" style="position:absolute;left:0pt;height:60.2pt;width:527.05pt;mso-position-horizontal:center;mso-position-horizontal-relative:margin;mso-position-vertical:center;mso-position-vertical-relative:margin;rotation:-2949120f;z-index:-251657216;mso-width-relative:page;mso-height-relative:page;" fillcolor="#C0C0C0" filled="t" stroked="f" coordsize="21600,21600" adj="10800">
          <v:path/>
          <v:fill on="t" opacity="32768f" focussize="0,0"/>
          <v:stroke on="f"/>
          <v:imagedata o:title=""/>
          <o:lock v:ext="edit" aspectratio="t"/>
          <v:textpath on="t" fitshape="t" fitpath="t" trim="t" xscale="f" string="中国知识产权研究会" style="font-family:等线;font-size:36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FCB2E">
    <w:pPr>
      <w:ind w:firstLine="480"/>
    </w:pPr>
    <w:r>
      <w:rPr>
        <w:sz w:val="24"/>
      </w:rPr>
      <w:pict>
        <v:shape id="PowerPlusWaterMarkObject482013" o:spid="_x0000_s4099" o:spt="136" type="#_x0000_t136" style="position:absolute;left:0pt;height:60.2pt;width:527.0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中国知识产权研究会" style="font-family:等线;font-size:36pt;v-same-letter-heights:f;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17B8B">
    <w:pPr>
      <w:ind w:firstLine="48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18DFC">
    <w:pPr>
      <w:ind w:firstLine="480"/>
    </w:pPr>
    <w:r>
      <w:rPr>
        <w:sz w:val="24"/>
      </w:rPr>
      <w:pict>
        <v:shape id="PowerPlusWaterMarkObject553950" o:spid="_x0000_s4098" o:spt="136" type="#_x0000_t136" style="position:absolute;left:0pt;height:60.2pt;width:527.05pt;mso-position-horizontal:center;mso-position-horizontal-relative:margin;mso-position-vertical:center;mso-position-vertical-relative:margin;rotation:-2949120f;z-index:-251655168;mso-width-relative:page;mso-height-relative:page;" fillcolor="#C0C0C0" filled="t" stroked="f" coordsize="21600,21600" adj="10800">
          <v:path/>
          <v:fill on="t" opacity="32768f" focussize="0,0"/>
          <v:stroke on="f"/>
          <v:imagedata o:title=""/>
          <o:lock v:ext="edit" aspectratio="t"/>
          <v:textpath on="t" fitshape="t" fitpath="t" trim="t" xscale="f" string="中国知识产权研究会" style="font-family:等线;font-size:36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412"/>
    <w:rsid w:val="00050D4B"/>
    <w:rsid w:val="0009184C"/>
    <w:rsid w:val="00094E12"/>
    <w:rsid w:val="000E61C2"/>
    <w:rsid w:val="001118FD"/>
    <w:rsid w:val="00114306"/>
    <w:rsid w:val="00157857"/>
    <w:rsid w:val="00191218"/>
    <w:rsid w:val="00196437"/>
    <w:rsid w:val="00197577"/>
    <w:rsid w:val="001A0D8F"/>
    <w:rsid w:val="001C2FFA"/>
    <w:rsid w:val="001E7848"/>
    <w:rsid w:val="001F589C"/>
    <w:rsid w:val="00206843"/>
    <w:rsid w:val="00242F57"/>
    <w:rsid w:val="00252F6C"/>
    <w:rsid w:val="00272F2D"/>
    <w:rsid w:val="00292E9B"/>
    <w:rsid w:val="002C2806"/>
    <w:rsid w:val="002D0A5C"/>
    <w:rsid w:val="002D1133"/>
    <w:rsid w:val="002D3A1B"/>
    <w:rsid w:val="00306991"/>
    <w:rsid w:val="00322839"/>
    <w:rsid w:val="00322864"/>
    <w:rsid w:val="003315A7"/>
    <w:rsid w:val="0034131F"/>
    <w:rsid w:val="00345792"/>
    <w:rsid w:val="0036326C"/>
    <w:rsid w:val="00392096"/>
    <w:rsid w:val="003B0075"/>
    <w:rsid w:val="003D10DD"/>
    <w:rsid w:val="00414A35"/>
    <w:rsid w:val="004355D7"/>
    <w:rsid w:val="004441EC"/>
    <w:rsid w:val="00446345"/>
    <w:rsid w:val="00465C65"/>
    <w:rsid w:val="00497E42"/>
    <w:rsid w:val="004E07CF"/>
    <w:rsid w:val="005137D9"/>
    <w:rsid w:val="00525CAF"/>
    <w:rsid w:val="00531098"/>
    <w:rsid w:val="005429EE"/>
    <w:rsid w:val="005A55C4"/>
    <w:rsid w:val="005B0CAD"/>
    <w:rsid w:val="005B5412"/>
    <w:rsid w:val="00603125"/>
    <w:rsid w:val="0063200A"/>
    <w:rsid w:val="006363DC"/>
    <w:rsid w:val="00641101"/>
    <w:rsid w:val="00662E47"/>
    <w:rsid w:val="006770C4"/>
    <w:rsid w:val="00677492"/>
    <w:rsid w:val="00681E57"/>
    <w:rsid w:val="006B4E75"/>
    <w:rsid w:val="006E682F"/>
    <w:rsid w:val="006F7708"/>
    <w:rsid w:val="007045D0"/>
    <w:rsid w:val="007048DB"/>
    <w:rsid w:val="00715EBA"/>
    <w:rsid w:val="007357AE"/>
    <w:rsid w:val="00743B72"/>
    <w:rsid w:val="0075513D"/>
    <w:rsid w:val="00762D09"/>
    <w:rsid w:val="007D3DEC"/>
    <w:rsid w:val="008269E0"/>
    <w:rsid w:val="00854987"/>
    <w:rsid w:val="00897827"/>
    <w:rsid w:val="008A09EF"/>
    <w:rsid w:val="008C317E"/>
    <w:rsid w:val="008E4AD8"/>
    <w:rsid w:val="008F122C"/>
    <w:rsid w:val="008F4004"/>
    <w:rsid w:val="00951DDA"/>
    <w:rsid w:val="009769D9"/>
    <w:rsid w:val="00997DBF"/>
    <w:rsid w:val="009C07E3"/>
    <w:rsid w:val="009C6FCE"/>
    <w:rsid w:val="009D0EF0"/>
    <w:rsid w:val="009E42CA"/>
    <w:rsid w:val="00A04720"/>
    <w:rsid w:val="00A3140C"/>
    <w:rsid w:val="00A41811"/>
    <w:rsid w:val="00AA2576"/>
    <w:rsid w:val="00AD63B4"/>
    <w:rsid w:val="00AD6989"/>
    <w:rsid w:val="00AE5A6A"/>
    <w:rsid w:val="00B476C3"/>
    <w:rsid w:val="00B52FB1"/>
    <w:rsid w:val="00BB3F8D"/>
    <w:rsid w:val="00BC45F1"/>
    <w:rsid w:val="00BF5F2E"/>
    <w:rsid w:val="00C035C5"/>
    <w:rsid w:val="00C0494C"/>
    <w:rsid w:val="00C33105"/>
    <w:rsid w:val="00C47E1A"/>
    <w:rsid w:val="00C70CBA"/>
    <w:rsid w:val="00C909F5"/>
    <w:rsid w:val="00CA16D4"/>
    <w:rsid w:val="00CA25FA"/>
    <w:rsid w:val="00CC457D"/>
    <w:rsid w:val="00CD4FF3"/>
    <w:rsid w:val="00CD54EE"/>
    <w:rsid w:val="00CD6CA3"/>
    <w:rsid w:val="00D05379"/>
    <w:rsid w:val="00D121A9"/>
    <w:rsid w:val="00D2612B"/>
    <w:rsid w:val="00D36BB3"/>
    <w:rsid w:val="00D5681C"/>
    <w:rsid w:val="00D73A81"/>
    <w:rsid w:val="00D97118"/>
    <w:rsid w:val="00DA384A"/>
    <w:rsid w:val="00DB3863"/>
    <w:rsid w:val="00DC0916"/>
    <w:rsid w:val="00DE7A9B"/>
    <w:rsid w:val="00E206BB"/>
    <w:rsid w:val="00E46EB6"/>
    <w:rsid w:val="00E94523"/>
    <w:rsid w:val="00EB5426"/>
    <w:rsid w:val="00EE4BC3"/>
    <w:rsid w:val="00EF01CD"/>
    <w:rsid w:val="00EF4408"/>
    <w:rsid w:val="00F103BE"/>
    <w:rsid w:val="00F773D2"/>
    <w:rsid w:val="00F81FB6"/>
    <w:rsid w:val="00F87E0E"/>
    <w:rsid w:val="00FA303D"/>
    <w:rsid w:val="00FB1736"/>
    <w:rsid w:val="00FC1261"/>
    <w:rsid w:val="00FD4235"/>
    <w:rsid w:val="00FF7E85"/>
    <w:rsid w:val="011450AB"/>
    <w:rsid w:val="015E6237"/>
    <w:rsid w:val="03802AE2"/>
    <w:rsid w:val="03C91E21"/>
    <w:rsid w:val="048605CC"/>
    <w:rsid w:val="051938CD"/>
    <w:rsid w:val="064969C8"/>
    <w:rsid w:val="06C258D3"/>
    <w:rsid w:val="07204302"/>
    <w:rsid w:val="07246A32"/>
    <w:rsid w:val="08AD4CD6"/>
    <w:rsid w:val="0A7E0C9E"/>
    <w:rsid w:val="0AC76486"/>
    <w:rsid w:val="0ADB6B62"/>
    <w:rsid w:val="0F6B289E"/>
    <w:rsid w:val="0FDD2DE3"/>
    <w:rsid w:val="10864295"/>
    <w:rsid w:val="13F41DC8"/>
    <w:rsid w:val="14213E6D"/>
    <w:rsid w:val="149D007C"/>
    <w:rsid w:val="15DA0777"/>
    <w:rsid w:val="165B6759"/>
    <w:rsid w:val="17D17F51"/>
    <w:rsid w:val="18645220"/>
    <w:rsid w:val="18BF5A03"/>
    <w:rsid w:val="196A6987"/>
    <w:rsid w:val="19D75820"/>
    <w:rsid w:val="1B6900A2"/>
    <w:rsid w:val="1BA10E42"/>
    <w:rsid w:val="1C49258C"/>
    <w:rsid w:val="1D2160C0"/>
    <w:rsid w:val="1DAED25D"/>
    <w:rsid w:val="1E856ED3"/>
    <w:rsid w:val="1E87426F"/>
    <w:rsid w:val="1F4D0AFC"/>
    <w:rsid w:val="1F571B01"/>
    <w:rsid w:val="1FC52C81"/>
    <w:rsid w:val="1FDE67FC"/>
    <w:rsid w:val="1FE42BF9"/>
    <w:rsid w:val="20040A21"/>
    <w:rsid w:val="21FB74DB"/>
    <w:rsid w:val="23A7385C"/>
    <w:rsid w:val="23CB6DEC"/>
    <w:rsid w:val="24EA11A8"/>
    <w:rsid w:val="266655DC"/>
    <w:rsid w:val="27D3711A"/>
    <w:rsid w:val="28B739FA"/>
    <w:rsid w:val="29AD443F"/>
    <w:rsid w:val="2AA529EA"/>
    <w:rsid w:val="2CE70878"/>
    <w:rsid w:val="2D1B70E7"/>
    <w:rsid w:val="2EC25066"/>
    <w:rsid w:val="2F965A84"/>
    <w:rsid w:val="307C4E86"/>
    <w:rsid w:val="30F6750D"/>
    <w:rsid w:val="32963820"/>
    <w:rsid w:val="32F0526D"/>
    <w:rsid w:val="331B3617"/>
    <w:rsid w:val="334D5807"/>
    <w:rsid w:val="344139F3"/>
    <w:rsid w:val="352D7CF9"/>
    <w:rsid w:val="353F1CC7"/>
    <w:rsid w:val="364032F1"/>
    <w:rsid w:val="365B6B4A"/>
    <w:rsid w:val="379F0A81"/>
    <w:rsid w:val="395E5A17"/>
    <w:rsid w:val="3B770F13"/>
    <w:rsid w:val="3D431CCA"/>
    <w:rsid w:val="3F32079F"/>
    <w:rsid w:val="3F72092B"/>
    <w:rsid w:val="3FE0606C"/>
    <w:rsid w:val="406A1079"/>
    <w:rsid w:val="4085237F"/>
    <w:rsid w:val="41015DDB"/>
    <w:rsid w:val="41370F50"/>
    <w:rsid w:val="41B146FE"/>
    <w:rsid w:val="434856D5"/>
    <w:rsid w:val="44BF49F0"/>
    <w:rsid w:val="45D25933"/>
    <w:rsid w:val="467A1314"/>
    <w:rsid w:val="468962F3"/>
    <w:rsid w:val="481E506E"/>
    <w:rsid w:val="48344EE2"/>
    <w:rsid w:val="499C6B96"/>
    <w:rsid w:val="4AA750C4"/>
    <w:rsid w:val="4AB634BC"/>
    <w:rsid w:val="4DD15A47"/>
    <w:rsid w:val="4DD642A7"/>
    <w:rsid w:val="4E201C1D"/>
    <w:rsid w:val="50632B3C"/>
    <w:rsid w:val="51BE389E"/>
    <w:rsid w:val="527101E0"/>
    <w:rsid w:val="55962419"/>
    <w:rsid w:val="55EF382A"/>
    <w:rsid w:val="56571A89"/>
    <w:rsid w:val="569674B6"/>
    <w:rsid w:val="56FE00DA"/>
    <w:rsid w:val="57081035"/>
    <w:rsid w:val="57DEF84E"/>
    <w:rsid w:val="57E247C4"/>
    <w:rsid w:val="58047FBA"/>
    <w:rsid w:val="58CA6A86"/>
    <w:rsid w:val="59A835E2"/>
    <w:rsid w:val="59F24535"/>
    <w:rsid w:val="5D645DC6"/>
    <w:rsid w:val="5D6E7426"/>
    <w:rsid w:val="5DFD706E"/>
    <w:rsid w:val="5F573FB8"/>
    <w:rsid w:val="5F9A5929"/>
    <w:rsid w:val="60F769DD"/>
    <w:rsid w:val="62F6127D"/>
    <w:rsid w:val="6355329E"/>
    <w:rsid w:val="63DC7C3A"/>
    <w:rsid w:val="643B2E62"/>
    <w:rsid w:val="649F524E"/>
    <w:rsid w:val="657DCD16"/>
    <w:rsid w:val="66502FE4"/>
    <w:rsid w:val="66F52958"/>
    <w:rsid w:val="68923B46"/>
    <w:rsid w:val="6A626160"/>
    <w:rsid w:val="6B28106D"/>
    <w:rsid w:val="6C5E021D"/>
    <w:rsid w:val="6C88432A"/>
    <w:rsid w:val="6D450082"/>
    <w:rsid w:val="6D701D92"/>
    <w:rsid w:val="6DBEEE8D"/>
    <w:rsid w:val="6DFD9694"/>
    <w:rsid w:val="6E3557E7"/>
    <w:rsid w:val="6EC82A12"/>
    <w:rsid w:val="6F5D3371"/>
    <w:rsid w:val="6F87A8FC"/>
    <w:rsid w:val="6FB61A82"/>
    <w:rsid w:val="6FDDBF71"/>
    <w:rsid w:val="70EF34D9"/>
    <w:rsid w:val="741D2D0B"/>
    <w:rsid w:val="742F5036"/>
    <w:rsid w:val="74BB60FA"/>
    <w:rsid w:val="74F973D0"/>
    <w:rsid w:val="75006E40"/>
    <w:rsid w:val="79F43519"/>
    <w:rsid w:val="7AEF5557"/>
    <w:rsid w:val="7B99B0E3"/>
    <w:rsid w:val="7B9D07DF"/>
    <w:rsid w:val="7BEBB2DC"/>
    <w:rsid w:val="7CBC0416"/>
    <w:rsid w:val="7D7EA7EF"/>
    <w:rsid w:val="7D942DDC"/>
    <w:rsid w:val="7E837B67"/>
    <w:rsid w:val="7EA392F8"/>
    <w:rsid w:val="7EB63D55"/>
    <w:rsid w:val="7EFF22C6"/>
    <w:rsid w:val="7F35379D"/>
    <w:rsid w:val="7F531E4A"/>
    <w:rsid w:val="7FD21173"/>
    <w:rsid w:val="7FEB35F2"/>
    <w:rsid w:val="97F24DB7"/>
    <w:rsid w:val="9DDF31E6"/>
    <w:rsid w:val="A7B78600"/>
    <w:rsid w:val="A7BFF1C8"/>
    <w:rsid w:val="DFAD658C"/>
    <w:rsid w:val="DFEF9592"/>
    <w:rsid w:val="E7D9D2BD"/>
    <w:rsid w:val="EB769408"/>
    <w:rsid w:val="EEC129CF"/>
    <w:rsid w:val="F5EF0090"/>
    <w:rsid w:val="F5F570C0"/>
    <w:rsid w:val="F6EE9DBB"/>
    <w:rsid w:val="F7557ADF"/>
    <w:rsid w:val="F9FDEE9E"/>
    <w:rsid w:val="FC5E102E"/>
    <w:rsid w:val="FDF54A73"/>
    <w:rsid w:val="FEAF6A5A"/>
    <w:rsid w:val="FEBF8D0D"/>
    <w:rsid w:val="FF5DFF43"/>
    <w:rsid w:val="FFFF8F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楷体_GB2312" w:hAnsi="Times New Roman" w:eastAsia="楷体_GB2312" w:cs="Times New Roman"/>
      <w:spacing w:val="6"/>
      <w:kern w:val="2"/>
      <w:sz w:val="24"/>
      <w:szCs w:val="20"/>
      <w:lang w:val="en-US" w:eastAsia="zh-CN" w:bidi="ar-SA"/>
      <w14:ligatures w14:val="none"/>
    </w:rPr>
  </w:style>
  <w:style w:type="paragraph" w:styleId="2">
    <w:name w:val="heading 1"/>
    <w:basedOn w:val="1"/>
    <w:next w:val="1"/>
    <w:link w:val="20"/>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3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4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0"/>
    <w:unhideWhenUsed/>
    <w:qFormat/>
    <w:uiPriority w:val="99"/>
    <w:pPr>
      <w:tabs>
        <w:tab w:val="center" w:pos="4153"/>
        <w:tab w:val="right" w:pos="8306"/>
      </w:tabs>
      <w:snapToGrid w:val="0"/>
    </w:pPr>
    <w:rPr>
      <w:sz w:val="18"/>
      <w:szCs w:val="18"/>
    </w:rPr>
  </w:style>
  <w:style w:type="paragraph" w:styleId="13">
    <w:name w:val="header"/>
    <w:basedOn w:val="1"/>
    <w:link w:val="23"/>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rPr>
      <w:sz w:val="24"/>
    </w:rPr>
  </w:style>
  <w:style w:type="paragraph" w:styleId="16">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9">
    <w:name w:val="annotation reference"/>
    <w:semiHidden/>
    <w:unhideWhenUsed/>
    <w:qFormat/>
    <w:uiPriority w:val="99"/>
    <w:rPr>
      <w:sz w:val="16"/>
      <w:szCs w:val="16"/>
    </w:rPr>
  </w:style>
  <w:style w:type="character" w:customStyle="1" w:styleId="20">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Intense Reference"/>
    <w:basedOn w:val="18"/>
    <w:qFormat/>
    <w:uiPriority w:val="32"/>
    <w:rPr>
      <w:b/>
      <w:bCs/>
      <w:smallCaps/>
      <w:color w:val="2F5597" w:themeColor="accent1" w:themeShade="BF"/>
      <w:spacing w:val="5"/>
    </w:rPr>
  </w:style>
  <w:style w:type="character" w:customStyle="1" w:styleId="22">
    <w:name w:val="标题 6 字符"/>
    <w:basedOn w:val="18"/>
    <w:link w:val="7"/>
    <w:semiHidden/>
    <w:qFormat/>
    <w:uiPriority w:val="9"/>
    <w:rPr>
      <w:rFonts w:cstheme="majorBidi"/>
      <w:b/>
      <w:bCs/>
      <w:color w:val="2F5597" w:themeColor="accent1" w:themeShade="BF"/>
    </w:rPr>
  </w:style>
  <w:style w:type="character" w:customStyle="1" w:styleId="23">
    <w:name w:val="页眉 字符"/>
    <w:basedOn w:val="18"/>
    <w:link w:val="13"/>
    <w:qFormat/>
    <w:uiPriority w:val="99"/>
    <w:rPr>
      <w:rFonts w:ascii="楷体_GB2312" w:hAnsi="Times New Roman" w:eastAsia="楷体_GB2312" w:cs="Times New Roman"/>
      <w:spacing w:val="6"/>
      <w:sz w:val="18"/>
      <w:szCs w:val="18"/>
      <w14:ligatures w14:val="none"/>
    </w:rPr>
  </w:style>
  <w:style w:type="character" w:customStyle="1" w:styleId="24">
    <w:name w:val="标题 5 字符"/>
    <w:basedOn w:val="18"/>
    <w:link w:val="6"/>
    <w:semiHidden/>
    <w:qFormat/>
    <w:uiPriority w:val="9"/>
    <w:rPr>
      <w:rFonts w:cstheme="majorBidi"/>
      <w:color w:val="2F5597" w:themeColor="accent1" w:themeShade="BF"/>
      <w:sz w:val="24"/>
    </w:rPr>
  </w:style>
  <w:style w:type="character" w:customStyle="1" w:styleId="25">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6">
    <w:name w:val="明显引用 字符"/>
    <w:basedOn w:val="18"/>
    <w:link w:val="27"/>
    <w:qFormat/>
    <w:uiPriority w:val="30"/>
    <w:rPr>
      <w:i/>
      <w:iCs/>
      <w:color w:val="2F5597" w:themeColor="accent1" w:themeShade="BF"/>
    </w:rPr>
  </w:style>
  <w:style w:type="paragraph" w:styleId="27">
    <w:name w:val="Intense Quote"/>
    <w:basedOn w:val="1"/>
    <w:next w:val="1"/>
    <w:link w:val="2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28">
    <w:name w:val="引用 字符"/>
    <w:basedOn w:val="18"/>
    <w:link w:val="29"/>
    <w:qFormat/>
    <w:uiPriority w:val="29"/>
    <w:rPr>
      <w:i/>
      <w:iCs/>
      <w:color w:val="404040" w:themeColor="text1" w:themeTint="BF"/>
      <w14:textFill>
        <w14:solidFill>
          <w14:schemeClr w14:val="tx1">
            <w14:lumMod w14:val="75000"/>
            <w14:lumOff w14:val="25000"/>
          </w14:schemeClr>
        </w14:solidFill>
      </w14:textFill>
    </w:rPr>
  </w:style>
  <w:style w:type="paragraph" w:styleId="29">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页脚 字符"/>
    <w:basedOn w:val="18"/>
    <w:link w:val="12"/>
    <w:qFormat/>
    <w:uiPriority w:val="99"/>
    <w:rPr>
      <w:rFonts w:ascii="楷体_GB2312" w:hAnsi="Times New Roman" w:eastAsia="楷体_GB2312" w:cs="Times New Roman"/>
      <w:spacing w:val="6"/>
      <w:sz w:val="18"/>
      <w:szCs w:val="18"/>
      <w14:ligatures w14:val="none"/>
    </w:rPr>
  </w:style>
  <w:style w:type="paragraph" w:styleId="31">
    <w:name w:val="List Paragraph"/>
    <w:basedOn w:val="1"/>
    <w:qFormat/>
    <w:uiPriority w:val="34"/>
    <w:pPr>
      <w:ind w:left="720"/>
      <w:contextualSpacing/>
    </w:pPr>
  </w:style>
  <w:style w:type="character" w:customStyle="1" w:styleId="32">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Intense Emphasis"/>
    <w:basedOn w:val="18"/>
    <w:qFormat/>
    <w:uiPriority w:val="21"/>
    <w:rPr>
      <w:i/>
      <w:iCs/>
      <w:color w:val="2F5597" w:themeColor="accent1" w:themeShade="BF"/>
    </w:rPr>
  </w:style>
  <w:style w:type="character" w:customStyle="1" w:styleId="34">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35">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customStyle="1" w:styleId="38">
    <w:name w:val="网格型1"/>
    <w:basedOn w:val="17"/>
    <w:qFormat/>
    <w:uiPriority w:val="0"/>
    <w:pPr>
      <w:spacing w:after="0" w:line="240" w:lineRule="auto"/>
    </w:pPr>
    <w:rPr>
      <w:rFonts w:ascii="Calibri" w:hAnsi="Calibri" w:eastAsia="宋体" w:cs="Times New Roman"/>
      <w:kern w:val="0"/>
      <w:sz w:val="20"/>
      <w:szCs w:val="21"/>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9">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0">
    <w:name w:val="标题 4 字符"/>
    <w:basedOn w:val="18"/>
    <w:link w:val="5"/>
    <w:semiHidden/>
    <w:qFormat/>
    <w:uiPriority w:val="9"/>
    <w:rPr>
      <w:rFonts w:cstheme="majorBidi"/>
      <w:color w:val="2F5597" w:themeColor="accent1" w:themeShade="BF"/>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4099"/>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25</Words>
  <Characters>25</Characters>
  <TotalTime>0</TotalTime>
  <ScaleCrop>false</ScaleCrop>
  <LinksUpToDate>false</LinksUpToDate>
  <CharactersWithSpaces>97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2026-08-17T16:13:00Z</dcterms:created>
  <dc:creator>11026</dc:creator>
  <cp:lastModifiedBy>anlywang</cp:lastModifiedBy>
  <dcterms:modified xsi:type="dcterms:W3CDTF">2026-10-15T07:53:05Z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eyJoZGlkIjoiZDY1MTUyYmYzNWY2MGE2YzJkYmUxZWNiMWEwMGFjZTMiLCJ1c2VySWQiOiI1MzYyMjc1MDIifQ==</vt:lpwstr>
  </property>
  <property fmtid="{D5CDD505-2E9C-101B-9397-08002B2CF9AE}" pid="3" name="KSOProductBuildVer">
    <vt:lpwstr>2052-12.1.0.29161</vt:lpwstr>
  </property>
  <property fmtid="{D5CDD505-2E9C-101B-9397-08002B2CF9AE}" pid="4" name="ICV">
    <vt:lpwstr>EFCBD6A6A10B4573B6C68B0B67136E83_12</vt:lpwstr>
  </property>
</Properties>
</file>